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方正黑体_GBK" w:hAnsi="方正黑体_GBK" w:eastAsia="方正黑体_GBK" w:cs="方正黑体_GBK"/>
          <w:sz w:val="32"/>
          <w:szCs w:val="32"/>
          <w:lang w:val="en-US" w:eastAsia="zh-CN"/>
        </w:rPr>
      </w:pPr>
      <w:bookmarkStart w:id="0" w:name="_GoBack"/>
      <w:bookmarkEnd w:id="0"/>
      <w:r>
        <w:rPr>
          <w:rFonts w:hint="eastAsia" w:ascii="方正黑体_GBK" w:hAnsi="方正黑体_GBK" w:eastAsia="方正黑体_GBK" w:cs="方正黑体_GBK"/>
          <w:sz w:val="32"/>
          <w:szCs w:val="32"/>
          <w:lang w:eastAsia="zh-CN"/>
        </w:rPr>
        <w:t>附件</w:t>
      </w: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方正小标宋简体" w:eastAsia="方正小标宋简体"/>
          <w:color w:val="auto"/>
          <w:sz w:val="44"/>
          <w:szCs w:val="44"/>
        </w:rPr>
      </w:pP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方正小标宋简体" w:eastAsia="方正小标宋简体"/>
          <w:color w:val="auto"/>
          <w:sz w:val="44"/>
          <w:szCs w:val="44"/>
        </w:rPr>
      </w:pPr>
      <w:r>
        <w:rPr>
          <w:rFonts w:hint="eastAsia" w:ascii="方正小标宋简体" w:eastAsia="方正小标宋简体"/>
          <w:color w:val="auto"/>
          <w:sz w:val="44"/>
          <w:szCs w:val="44"/>
        </w:rPr>
        <w:t>深圳市商务局202</w:t>
      </w:r>
      <w:r>
        <w:rPr>
          <w:rFonts w:hint="eastAsia" w:ascii="方正小标宋简体" w:eastAsia="方正小标宋简体"/>
          <w:color w:val="auto"/>
          <w:sz w:val="44"/>
          <w:szCs w:val="44"/>
          <w:lang w:val="en-US" w:eastAsia="zh-CN"/>
        </w:rPr>
        <w:t>6</w:t>
      </w:r>
      <w:r>
        <w:rPr>
          <w:rFonts w:hint="eastAsia" w:ascii="方正小标宋简体" w:eastAsia="方正小标宋简体"/>
          <w:color w:val="auto"/>
          <w:sz w:val="44"/>
          <w:szCs w:val="44"/>
        </w:rPr>
        <w:t>年度中央资金（</w:t>
      </w:r>
      <w:r>
        <w:rPr>
          <w:rFonts w:hint="eastAsia" w:ascii="方正小标宋简体" w:eastAsia="方正小标宋简体"/>
          <w:color w:val="auto"/>
          <w:sz w:val="44"/>
          <w:szCs w:val="44"/>
          <w:lang w:eastAsia="zh-CN"/>
        </w:rPr>
        <w:t>支持建设海外综合服务体系事项</w:t>
      </w:r>
      <w:r>
        <w:rPr>
          <w:rFonts w:hint="eastAsia" w:ascii="方正小标宋简体" w:eastAsia="方正小标宋简体"/>
          <w:color w:val="auto"/>
          <w:sz w:val="44"/>
          <w:szCs w:val="44"/>
        </w:rPr>
        <w:t>）申报指南</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olor w:val="auto"/>
          <w:sz w:val="32"/>
          <w:szCs w:val="32"/>
        </w:rPr>
      </w:pP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rPr>
        <w:t>一、支持领域</w:t>
      </w:r>
    </w:p>
    <w:p>
      <w:pPr>
        <w:keepNext w:val="0"/>
        <w:keepLines w:val="0"/>
        <w:pageBreakBefore w:val="0"/>
        <w:tabs>
          <w:tab w:val="left" w:pos="5227"/>
        </w:tabs>
        <w:kinsoku/>
        <w:wordWrap/>
        <w:overflowPunct/>
        <w:topLinePunct w:val="0"/>
        <w:autoSpaceDE/>
        <w:autoSpaceDN/>
        <w:bidi w:val="0"/>
        <w:adjustRightInd w:val="0"/>
        <w:snapToGrid w:val="0"/>
        <w:spacing w:line="560" w:lineRule="exact"/>
        <w:ind w:firstLine="63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eastAsia="zh-CN"/>
        </w:rPr>
        <w:t>完善海外综合服务体系，支持</w:t>
      </w:r>
      <w:r>
        <w:rPr>
          <w:rFonts w:ascii="仿宋_GB2312" w:eastAsia="仿宋_GB2312"/>
          <w:color w:val="auto"/>
          <w:sz w:val="32"/>
          <w:szCs w:val="32"/>
          <w:highlight w:val="none"/>
        </w:rPr>
        <w:t>建设</w:t>
      </w:r>
      <w:r>
        <w:rPr>
          <w:rFonts w:hint="eastAsia" w:ascii="仿宋_GB2312" w:eastAsia="仿宋_GB2312"/>
          <w:color w:val="auto"/>
          <w:sz w:val="32"/>
          <w:szCs w:val="32"/>
          <w:highlight w:val="none"/>
          <w:lang w:val="en-US" w:eastAsia="zh-CN"/>
        </w:rPr>
        <w:t>省级</w:t>
      </w:r>
      <w:r>
        <w:rPr>
          <w:rFonts w:hint="default" w:ascii="仿宋_GB2312" w:eastAsia="仿宋_GB2312"/>
          <w:color w:val="auto"/>
          <w:sz w:val="32"/>
          <w:szCs w:val="32"/>
          <w:highlight w:val="none"/>
        </w:rPr>
        <w:t>海外</w:t>
      </w:r>
      <w:r>
        <w:rPr>
          <w:rFonts w:hint="eastAsia" w:ascii="仿宋_GB2312" w:eastAsia="仿宋_GB2312"/>
          <w:color w:val="auto"/>
          <w:sz w:val="32"/>
          <w:szCs w:val="32"/>
          <w:highlight w:val="none"/>
        </w:rPr>
        <w:t>综合服务平台</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打造</w:t>
      </w:r>
      <w:r>
        <w:rPr>
          <w:rFonts w:hint="eastAsia" w:ascii="仿宋_GB2312" w:eastAsia="仿宋_GB2312"/>
          <w:color w:val="auto"/>
          <w:sz w:val="32"/>
          <w:szCs w:val="32"/>
          <w:highlight w:val="none"/>
          <w:lang w:eastAsia="zh-CN"/>
        </w:rPr>
        <w:t>拓展</w:t>
      </w:r>
      <w:r>
        <w:rPr>
          <w:rFonts w:hint="eastAsia" w:ascii="仿宋_GB2312" w:eastAsia="仿宋_GB2312"/>
          <w:color w:val="auto"/>
          <w:sz w:val="32"/>
          <w:szCs w:val="32"/>
          <w:highlight w:val="none"/>
        </w:rPr>
        <w:t>产品出海、投资出海和服务出海</w:t>
      </w:r>
      <w:r>
        <w:rPr>
          <w:rFonts w:hint="eastAsia" w:ascii="仿宋_GB2312" w:eastAsia="仿宋_GB2312"/>
          <w:color w:val="auto"/>
          <w:sz w:val="32"/>
          <w:szCs w:val="32"/>
          <w:highlight w:val="none"/>
          <w:lang w:val="en-US" w:eastAsia="zh-CN"/>
        </w:rPr>
        <w:t>的</w:t>
      </w:r>
      <w:r>
        <w:rPr>
          <w:rFonts w:hint="eastAsia" w:ascii="仿宋_GB2312" w:eastAsia="仿宋_GB2312"/>
          <w:color w:val="auto"/>
          <w:sz w:val="32"/>
          <w:szCs w:val="32"/>
          <w:highlight w:val="none"/>
        </w:rPr>
        <w:t>全领域覆盖</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线上+线下</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专业服务机构</w:t>
      </w:r>
      <w:r>
        <w:rPr>
          <w:rFonts w:hint="default" w:ascii="仿宋_GB2312" w:eastAsia="仿宋_GB2312"/>
          <w:color w:val="auto"/>
          <w:sz w:val="32"/>
          <w:szCs w:val="32"/>
          <w:highlight w:val="none"/>
        </w:rPr>
        <w:t>，</w:t>
      </w:r>
      <w:r>
        <w:rPr>
          <w:rFonts w:hint="eastAsia" w:ascii="仿宋_GB2312" w:eastAsia="仿宋_GB2312"/>
          <w:color w:val="auto"/>
          <w:sz w:val="32"/>
          <w:szCs w:val="32"/>
          <w:highlight w:val="none"/>
        </w:rPr>
        <w:t>提供</w:t>
      </w:r>
      <w:r>
        <w:rPr>
          <w:rFonts w:hint="eastAsia" w:ascii="仿宋_GB2312" w:eastAsia="仿宋_GB2312"/>
          <w:color w:val="auto"/>
          <w:sz w:val="32"/>
          <w:szCs w:val="32"/>
          <w:highlight w:val="none"/>
          <w:lang w:eastAsia="zh-CN"/>
        </w:rPr>
        <w:t>企业海外项目投资的</w:t>
      </w:r>
      <w:r>
        <w:rPr>
          <w:rFonts w:hint="eastAsia" w:ascii="仿宋_GB2312" w:eastAsia="仿宋_GB2312"/>
          <w:color w:val="auto"/>
          <w:sz w:val="32"/>
          <w:szCs w:val="32"/>
          <w:highlight w:val="none"/>
        </w:rPr>
        <w:t>前期规划、筹备组建、落地经营和安全发展</w:t>
      </w:r>
      <w:r>
        <w:rPr>
          <w:rFonts w:hint="eastAsia" w:ascii="仿宋_GB2312" w:eastAsia="仿宋_GB2312"/>
          <w:color w:val="auto"/>
          <w:sz w:val="32"/>
          <w:szCs w:val="32"/>
          <w:highlight w:val="none"/>
          <w:lang w:eastAsia="zh-CN"/>
        </w:rPr>
        <w:t>等</w:t>
      </w:r>
      <w:r>
        <w:rPr>
          <w:rFonts w:hint="eastAsia" w:ascii="仿宋_GB2312" w:eastAsia="仿宋_GB2312"/>
          <w:color w:val="auto"/>
          <w:sz w:val="32"/>
          <w:szCs w:val="32"/>
          <w:highlight w:val="none"/>
        </w:rPr>
        <w:t>全方位、一站式出海服务</w:t>
      </w:r>
      <w:r>
        <w:rPr>
          <w:rFonts w:hint="eastAsia" w:ascii="仿宋_GB2312" w:eastAsia="仿宋_GB2312"/>
          <w:color w:val="auto"/>
          <w:sz w:val="32"/>
          <w:szCs w:val="32"/>
          <w:highlight w:val="none"/>
          <w:lang w:eastAsia="zh-CN"/>
        </w:rPr>
        <w:t>；支持</w:t>
      </w:r>
      <w:r>
        <w:rPr>
          <w:rFonts w:hint="eastAsia" w:ascii="仿宋_GB2312" w:eastAsia="仿宋_GB2312"/>
          <w:color w:val="auto"/>
          <w:sz w:val="32"/>
          <w:szCs w:val="32"/>
          <w:highlight w:val="none"/>
          <w:lang w:val="en-US" w:eastAsia="zh-CN"/>
        </w:rPr>
        <w:t>建设省级海外联络站</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打造资源汇聚、内外协同、专业高效的涉外综合服务机构，以境内站点或境外站点的形式，</w:t>
      </w:r>
      <w:r>
        <w:rPr>
          <w:rFonts w:hint="eastAsia" w:ascii="仿宋_GB2312" w:eastAsia="仿宋_GB2312"/>
          <w:color w:val="auto"/>
          <w:sz w:val="32"/>
          <w:szCs w:val="32"/>
          <w:highlight w:val="none"/>
          <w:lang w:eastAsia="zh-CN"/>
        </w:rPr>
        <w:t>提供对外投资合作信息咨询、对接撮合、法律与合规支持、跨境融资、税务筹划、人力资源、物流与供应链、风险预警和海外权益保护等服务。</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楷体_GB2312" w:hAnsi="楷体_GB2312" w:eastAsia="楷体_GB2312" w:cs="楷体_GB2312"/>
          <w:b/>
          <w:bCs/>
          <w:color w:val="auto"/>
          <w:sz w:val="32"/>
          <w:szCs w:val="32"/>
        </w:rPr>
      </w:pPr>
      <w:r>
        <w:rPr>
          <w:rFonts w:hint="eastAsia" w:ascii="黑体" w:hAnsi="黑体" w:eastAsia="黑体"/>
          <w:color w:val="auto"/>
          <w:sz w:val="32"/>
          <w:szCs w:val="32"/>
        </w:rPr>
        <w:t>二、设定依据</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（一）资金政策依据</w:t>
      </w:r>
    </w:p>
    <w:p>
      <w:pPr>
        <w:keepNext w:val="0"/>
        <w:keepLines w:val="0"/>
        <w:pageBreakBefore w:val="0"/>
        <w:widowControl/>
        <w:kinsoku/>
        <w:wordWrap/>
        <w:overflowPunct/>
        <w:topLinePunct w:val="0"/>
        <w:autoSpaceDE/>
        <w:autoSpaceDN/>
        <w:bidi w:val="0"/>
        <w:adjustRightInd w:val="0"/>
        <w:snapToGrid w:val="0"/>
        <w:spacing w:line="560" w:lineRule="exact"/>
        <w:ind w:left="638" w:leftChars="304" w:firstLine="0" w:firstLineChars="0"/>
        <w:textAlignment w:val="auto"/>
        <w:rPr>
          <w:rFonts w:hint="eastAsia" w:ascii="仿宋_GB2312" w:hAnsi="仿宋_GB2312"/>
          <w:color w:val="auto"/>
          <w:sz w:val="32"/>
          <w:szCs w:val="32"/>
          <w:lang w:val="en-US" w:eastAsia="zh-CN"/>
        </w:rPr>
      </w:pPr>
      <w:r>
        <w:rPr>
          <w:rFonts w:hint="eastAsia" w:ascii="仿宋_GB2312" w:hAnsi="仿宋_GB2312" w:eastAsia="仿宋_GB2312"/>
          <w:color w:val="auto"/>
          <w:sz w:val="32"/>
          <w:szCs w:val="32"/>
          <w:lang w:val="en-US" w:eastAsia="zh-CN"/>
        </w:rPr>
        <w:t>根据商务部相关政策文件设定</w:t>
      </w:r>
      <w:r>
        <w:rPr>
          <w:rFonts w:hint="eastAsia" w:ascii="仿宋_GB2312" w:hAnsi="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（二）资金管理依据</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olor w:val="auto"/>
          <w:sz w:val="32"/>
          <w:szCs w:val="32"/>
          <w:lang w:val="en-US" w:eastAsia="zh-CN"/>
        </w:rPr>
      </w:pPr>
      <w:r>
        <w:rPr>
          <w:rFonts w:hint="eastAsia" w:ascii="仿宋_GB2312" w:hAnsi="仿宋_GB2312" w:eastAsia="仿宋_GB2312"/>
          <w:color w:val="auto"/>
          <w:sz w:val="32"/>
          <w:szCs w:val="32"/>
          <w:lang w:val="en-US" w:eastAsia="zh-CN"/>
        </w:rPr>
        <w:t>1.</w:t>
      </w:r>
      <w:r>
        <w:rPr>
          <w:rFonts w:hint="default" w:ascii="仿宋_GB2312" w:hAnsi="仿宋_GB2312" w:eastAsia="仿宋_GB2312"/>
          <w:color w:val="auto"/>
          <w:sz w:val="32"/>
          <w:szCs w:val="32"/>
          <w:lang w:eastAsia="zh-CN"/>
        </w:rPr>
        <w:t>中央资金相关管理文件</w:t>
      </w:r>
      <w:r>
        <w:rPr>
          <w:rFonts w:hint="eastAsia" w:ascii="仿宋_GB2312" w:hAnsi="仿宋_GB2312"/>
          <w:color w:val="auto"/>
          <w:sz w:val="32"/>
          <w:szCs w:val="32"/>
          <w:lang w:val="en-US" w:eastAsia="zh-CN"/>
        </w:rPr>
        <w:t>。</w:t>
      </w:r>
    </w:p>
    <w:p>
      <w:pPr>
        <w:widowControl/>
        <w:adjustRightInd w:val="0"/>
        <w:snapToGrid w:val="0"/>
        <w:spacing w:line="560" w:lineRule="exact"/>
        <w:ind w:firstLine="640" w:firstLineChars="200"/>
        <w:rPr>
          <w:rFonts w:hint="default" w:ascii="仿宋_GB2312" w:hAnsi="仿宋_GB2312" w:eastAsia="仿宋_GB2312"/>
          <w:color w:val="auto"/>
          <w:sz w:val="32"/>
          <w:szCs w:val="32"/>
          <w:lang w:val="en-US" w:eastAsia="zh-CN"/>
        </w:rPr>
      </w:pPr>
      <w:r>
        <w:rPr>
          <w:rFonts w:hint="eastAsia" w:ascii="仿宋_GB2312" w:hAnsi="仿宋_GB2312" w:eastAsia="仿宋_GB2312"/>
          <w:color w:val="auto"/>
          <w:sz w:val="32"/>
          <w:szCs w:val="32"/>
          <w:lang w:val="en-US" w:eastAsia="zh-CN"/>
        </w:rPr>
        <w:t>2.《深圳市商务高质量发展专项资金管理</w:t>
      </w:r>
      <w:r>
        <w:rPr>
          <w:rFonts w:hint="default" w:ascii="仿宋_GB2312" w:hAnsi="仿宋_GB2312" w:eastAsia="仿宋_GB2312"/>
          <w:color w:val="auto"/>
          <w:sz w:val="32"/>
          <w:szCs w:val="32"/>
          <w:lang w:val="en-US" w:eastAsia="zh-CN"/>
        </w:rPr>
        <w:t>办法</w:t>
      </w:r>
      <w:r>
        <w:rPr>
          <w:rFonts w:hint="eastAsia" w:ascii="仿宋_GB2312" w:hAnsi="仿宋_GB2312" w:eastAsia="仿宋_GB2312"/>
          <w:color w:val="auto"/>
          <w:sz w:val="32"/>
          <w:szCs w:val="32"/>
          <w:lang w:val="en-US" w:eastAsia="zh-CN"/>
        </w:rPr>
        <w:t>》（深商务规〔2025〕4号）</w:t>
      </w:r>
      <w:r>
        <w:rPr>
          <w:rFonts w:hint="eastAsia" w:ascii="仿宋_GB2312" w:hAnsi="仿宋_GB2312"/>
          <w:color w:val="auto"/>
          <w:sz w:val="32"/>
          <w:szCs w:val="32"/>
          <w:lang w:val="en-US" w:eastAsia="zh-CN"/>
        </w:rPr>
        <w:t>。</w:t>
      </w:r>
    </w:p>
    <w:p>
      <w:pPr>
        <w:keepNext w:val="0"/>
        <w:keepLines w:val="0"/>
        <w:pageBreakBefore w:val="0"/>
        <w:kinsoku/>
        <w:wordWrap/>
        <w:overflowPunct/>
        <w:topLinePunct w:val="0"/>
        <w:autoSpaceDE/>
        <w:autoSpaceDN/>
        <w:bidi w:val="0"/>
        <w:adjustRightInd w:val="0"/>
        <w:snapToGrid w:val="0"/>
        <w:spacing w:line="560" w:lineRule="exact"/>
        <w:ind w:firstLine="630"/>
        <w:textAlignment w:val="auto"/>
        <w:rPr>
          <w:rFonts w:ascii="黑体" w:hAnsi="黑体" w:eastAsia="黑体"/>
          <w:color w:val="auto"/>
          <w:sz w:val="32"/>
          <w:szCs w:val="32"/>
        </w:rPr>
      </w:pPr>
      <w:r>
        <w:rPr>
          <w:rFonts w:hint="eastAsia" w:ascii="黑体" w:hAnsi="黑体" w:eastAsia="黑体"/>
          <w:color w:val="auto"/>
          <w:sz w:val="32"/>
          <w:szCs w:val="32"/>
        </w:rPr>
        <w:t>三、支持数量和支持方式</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5"/>
        <w:textAlignment w:val="auto"/>
        <w:rPr>
          <w:rFonts w:ascii="楷体_GB2312" w:hAnsi="楷体_GB2312" w:eastAsia="楷体_GB2312" w:cs="楷体_GB2312"/>
          <w:bCs/>
          <w:color w:val="auto"/>
          <w:sz w:val="32"/>
          <w:szCs w:val="32"/>
        </w:rPr>
      </w:pPr>
      <w:r>
        <w:rPr>
          <w:rFonts w:hint="eastAsia" w:ascii="楷体_GB2312" w:hAnsi="楷体_GB2312" w:eastAsia="楷体_GB2312" w:cs="楷体_GB2312"/>
          <w:bCs/>
          <w:color w:val="auto"/>
          <w:sz w:val="32"/>
          <w:szCs w:val="32"/>
        </w:rPr>
        <w:t>（一）支持数量</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5"/>
        <w:textAlignment w:val="auto"/>
        <w:rPr>
          <w:rFonts w:ascii="仿宋_GB2312" w:hAnsi="仿宋_GB2312" w:eastAsia="仿宋_GB2312" w:cs="宋体"/>
          <w:color w:val="auto"/>
          <w:kern w:val="0"/>
          <w:sz w:val="32"/>
          <w:szCs w:val="32"/>
        </w:rPr>
      </w:pPr>
      <w:r>
        <w:rPr>
          <w:rFonts w:hint="eastAsia" w:ascii="仿宋_GB2312" w:hAnsi="仿宋_GB2312" w:eastAsia="仿宋_GB2312" w:cs="宋体"/>
          <w:color w:val="auto"/>
          <w:kern w:val="0"/>
          <w:sz w:val="32"/>
          <w:szCs w:val="32"/>
        </w:rPr>
        <w:t>有预算</w:t>
      </w:r>
      <w:r>
        <w:rPr>
          <w:rFonts w:hint="eastAsia" w:ascii="仿宋_GB2312" w:hAnsi="仿宋_GB2312" w:eastAsia="仿宋_GB2312" w:cs="仿宋_GB2312"/>
          <w:color w:val="auto"/>
          <w:kern w:val="0"/>
          <w:sz w:val="32"/>
          <w:szCs w:val="32"/>
        </w:rPr>
        <w:t>限制，受</w:t>
      </w:r>
      <w:r>
        <w:rPr>
          <w:rFonts w:hint="eastAsia" w:ascii="仿宋_GB2312" w:hAnsi="仿宋_GB2312" w:eastAsia="仿宋_GB2312" w:cs="仿宋_GB2312"/>
          <w:color w:val="auto"/>
          <w:sz w:val="32"/>
          <w:szCs w:val="32"/>
        </w:rPr>
        <w:t>财政部、商务部下达年度资金预算控制。</w:t>
      </w:r>
      <w:r>
        <w:rPr>
          <w:rFonts w:hint="default" w:ascii="仿宋_GB2312" w:hAnsi="仿宋_GB2312" w:eastAsia="仿宋_GB2312" w:cs="仿宋_GB2312"/>
          <w:color w:val="auto"/>
          <w:sz w:val="32"/>
          <w:szCs w:val="32"/>
        </w:rPr>
        <w:t>支持</w:t>
      </w:r>
      <w:r>
        <w:rPr>
          <w:rFonts w:hint="eastAsia" w:ascii="仿宋_GB2312" w:hAnsi="仿宋_GB2312" w:eastAsia="仿宋_GB2312" w:cs="仿宋_GB2312"/>
          <w:color w:val="auto"/>
          <w:sz w:val="32"/>
          <w:szCs w:val="32"/>
        </w:rPr>
        <w:t>金额以万元为单位按舍尾法取整，且原则上不得大于</w:t>
      </w:r>
      <w:r>
        <w:rPr>
          <w:rFonts w:hint="eastAsia" w:ascii="仿宋_GB2312" w:hAnsi="仿宋_GB2312" w:eastAsia="仿宋_GB2312" w:cs="仿宋_GB2312"/>
          <w:color w:val="auto"/>
          <w:sz w:val="32"/>
          <w:szCs w:val="32"/>
          <w:lang w:eastAsia="zh-CN"/>
        </w:rPr>
        <w:t>申报单位有关</w:t>
      </w:r>
      <w:r>
        <w:rPr>
          <w:rFonts w:hint="eastAsia" w:ascii="仿宋_GB2312" w:hAnsi="仿宋_GB2312" w:eastAsia="仿宋_GB2312" w:cs="仿宋_GB2312"/>
          <w:color w:val="auto"/>
          <w:sz w:val="32"/>
          <w:szCs w:val="32"/>
        </w:rPr>
        <w:t>实际发生/投入金额。</w:t>
      </w:r>
      <w:r>
        <w:rPr>
          <w:rFonts w:hint="eastAsia" w:ascii="仿宋_GB2312" w:hAnsi="仿宋_GB2312" w:eastAsia="仿宋_GB2312" w:cs="宋体"/>
          <w:color w:val="auto"/>
          <w:kern w:val="0"/>
          <w:sz w:val="32"/>
          <w:szCs w:val="32"/>
        </w:rPr>
        <w:t>市商务局视申报情况和预算安排，据以对</w:t>
      </w:r>
      <w:r>
        <w:rPr>
          <w:rFonts w:hint="default" w:ascii="仿宋_GB2312" w:hAnsi="仿宋_GB2312" w:eastAsia="仿宋_GB2312" w:cs="宋体"/>
          <w:color w:val="auto"/>
          <w:kern w:val="0"/>
          <w:sz w:val="32"/>
          <w:szCs w:val="32"/>
        </w:rPr>
        <w:t>支持</w:t>
      </w:r>
      <w:r>
        <w:rPr>
          <w:rFonts w:hint="eastAsia" w:ascii="仿宋_GB2312" w:hAnsi="仿宋_GB2312" w:eastAsia="仿宋_GB2312" w:cs="宋体"/>
          <w:color w:val="auto"/>
          <w:kern w:val="0"/>
          <w:sz w:val="32"/>
          <w:szCs w:val="32"/>
        </w:rPr>
        <w:t>金额、支持比例和拨付进度等进行统一调整，申报单位应无条件同意调整结果。</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line="560" w:lineRule="exact"/>
        <w:ind w:firstLine="640" w:firstLineChars="200"/>
        <w:jc w:val="left"/>
        <w:textAlignment w:val="auto"/>
        <w:rPr>
          <w:rFonts w:ascii="楷体_GB2312" w:hAnsi="楷体_GB2312" w:eastAsia="楷体_GB2312" w:cs="楷体_GB2312"/>
          <w:bCs/>
          <w:color w:val="auto"/>
          <w:sz w:val="32"/>
          <w:szCs w:val="32"/>
        </w:rPr>
      </w:pPr>
      <w:r>
        <w:rPr>
          <w:rFonts w:hint="default" w:ascii="楷体_GB2312" w:hAnsi="楷体_GB2312" w:eastAsia="楷体_GB2312" w:cs="楷体_GB2312"/>
          <w:bCs/>
          <w:color w:val="auto"/>
          <w:sz w:val="32"/>
          <w:szCs w:val="32"/>
        </w:rPr>
        <w:t>（二）</w:t>
      </w:r>
      <w:r>
        <w:rPr>
          <w:rFonts w:hint="eastAsia" w:ascii="楷体_GB2312" w:hAnsi="楷体_GB2312" w:eastAsia="楷体_GB2312" w:cs="楷体_GB2312"/>
          <w:bCs/>
          <w:color w:val="auto"/>
          <w:sz w:val="32"/>
          <w:szCs w:val="32"/>
        </w:rPr>
        <w:t>支持方式</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rPr>
        <w:t>事后</w:t>
      </w:r>
      <w:r>
        <w:rPr>
          <w:rFonts w:hint="default" w:ascii="仿宋_GB2312" w:eastAsia="仿宋_GB2312"/>
          <w:color w:val="auto"/>
          <w:sz w:val="32"/>
          <w:szCs w:val="32"/>
        </w:rPr>
        <w:t>支持</w:t>
      </w:r>
      <w:r>
        <w:rPr>
          <w:rFonts w:hint="eastAsia" w:ascii="仿宋_GB2312" w:hAnsi="宋体" w:eastAsia="仿宋_GB2312" w:cs="宋体"/>
          <w:color w:val="auto"/>
          <w:kern w:val="0"/>
          <w:sz w:val="32"/>
          <w:szCs w:val="32"/>
        </w:rPr>
        <w:t>。</w:t>
      </w:r>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ascii="仿宋_GB2312" w:eastAsia="仿宋_GB2312"/>
          <w:color w:val="auto"/>
          <w:sz w:val="32"/>
          <w:szCs w:val="32"/>
        </w:rPr>
      </w:pPr>
      <w:r>
        <w:rPr>
          <w:rFonts w:hint="eastAsia" w:ascii="黑体" w:hAnsi="黑体" w:eastAsia="黑体" w:cs="黑体"/>
          <w:color w:val="auto"/>
          <w:sz w:val="32"/>
          <w:szCs w:val="32"/>
        </w:rPr>
        <w:t>四、申报条件</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（一）基本条件</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1.</w:t>
      </w:r>
      <w:r>
        <w:rPr>
          <w:rFonts w:hint="eastAsia" w:ascii="仿宋_GB2312" w:eastAsia="仿宋_GB2312"/>
          <w:color w:val="auto"/>
          <w:sz w:val="32"/>
          <w:szCs w:val="32"/>
        </w:rPr>
        <w:t>申报</w:t>
      </w:r>
      <w:r>
        <w:rPr>
          <w:rFonts w:ascii="仿宋_GB2312" w:eastAsia="仿宋_GB2312"/>
          <w:color w:val="auto"/>
          <w:sz w:val="32"/>
          <w:szCs w:val="32"/>
        </w:rPr>
        <w:t>主体为在深圳市</w:t>
      </w:r>
      <w:r>
        <w:rPr>
          <w:rFonts w:hint="eastAsia" w:ascii="仿宋_GB2312" w:eastAsia="仿宋_GB2312"/>
          <w:color w:val="auto"/>
          <w:sz w:val="32"/>
          <w:szCs w:val="32"/>
          <w:lang w:val="en-US" w:eastAsia="zh-CN"/>
        </w:rPr>
        <w:t>行政区域内（含深汕特别合作区）</w:t>
      </w:r>
      <w:r>
        <w:rPr>
          <w:rFonts w:hint="eastAsia" w:ascii="仿宋_GB2312" w:eastAsia="仿宋_GB2312"/>
          <w:color w:val="auto"/>
          <w:sz w:val="32"/>
          <w:szCs w:val="32"/>
        </w:rPr>
        <w:t>依法</w:t>
      </w:r>
      <w:r>
        <w:rPr>
          <w:rFonts w:hint="eastAsia" w:ascii="仿宋_GB2312" w:eastAsia="仿宋_GB2312"/>
          <w:color w:val="auto"/>
          <w:sz w:val="32"/>
          <w:szCs w:val="32"/>
          <w:lang w:eastAsia="zh-CN"/>
        </w:rPr>
        <w:t>运营</w:t>
      </w:r>
      <w:r>
        <w:rPr>
          <w:rFonts w:ascii="仿宋_GB2312" w:eastAsia="仿宋_GB2312"/>
          <w:color w:val="auto"/>
          <w:sz w:val="32"/>
          <w:szCs w:val="32"/>
        </w:rPr>
        <w:t>，</w:t>
      </w:r>
      <w:r>
        <w:rPr>
          <w:rFonts w:hint="eastAsia" w:ascii="仿宋_GB2312" w:eastAsia="仿宋_GB2312"/>
          <w:color w:val="auto"/>
          <w:sz w:val="32"/>
          <w:szCs w:val="32"/>
        </w:rPr>
        <w:t>具有独立法人资格或具有独立承担民事责任能力的</w:t>
      </w:r>
      <w:r>
        <w:rPr>
          <w:rFonts w:hint="eastAsia" w:ascii="仿宋_GB2312" w:eastAsia="仿宋_GB2312"/>
          <w:color w:val="auto"/>
          <w:sz w:val="32"/>
          <w:szCs w:val="32"/>
          <w:lang w:eastAsia="zh-CN"/>
        </w:rPr>
        <w:t>企业或</w:t>
      </w:r>
      <w:r>
        <w:rPr>
          <w:rFonts w:hint="eastAsia" w:ascii="仿宋_GB2312" w:eastAsia="仿宋_GB2312"/>
          <w:color w:val="auto"/>
          <w:sz w:val="32"/>
          <w:szCs w:val="32"/>
        </w:rPr>
        <w:t>组织</w:t>
      </w:r>
      <w:r>
        <w:rPr>
          <w:rFonts w:hint="eastAsia" w:ascii="仿宋_GB2312" w:hAnsi="仿宋_GB2312" w:eastAsia="仿宋_GB2312" w:cs="仿宋_GB2312"/>
          <w:color w:val="auto"/>
          <w:sz w:val="32"/>
          <w:szCs w:val="32"/>
        </w:rPr>
        <w:t>。</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2.</w:t>
      </w:r>
      <w:r>
        <w:rPr>
          <w:rFonts w:hint="eastAsia" w:ascii="仿宋_GB2312" w:eastAsia="仿宋_GB2312"/>
          <w:color w:val="auto"/>
          <w:sz w:val="32"/>
          <w:szCs w:val="32"/>
        </w:rPr>
        <w:t>申报主体未被国家、省、市有关部门列入严重失信主体名单实施失信惩戒，明确限制申请财政性资金项目，且在限制期内</w:t>
      </w:r>
      <w:r>
        <w:rPr>
          <w:rFonts w:ascii="仿宋_GB2312" w:hAnsi="仿宋_GB2312" w:eastAsia="仿宋_GB2312" w:cs="仿宋_GB2312"/>
          <w:color w:val="auto"/>
          <w:sz w:val="32"/>
          <w:szCs w:val="32"/>
        </w:rPr>
        <w:t>。</w:t>
      </w:r>
    </w:p>
    <w:p>
      <w:pPr>
        <w:keepNext w:val="0"/>
        <w:keepLines w:val="0"/>
        <w:pageBreakBefore w:val="0"/>
        <w:widowControl/>
        <w:shd w:val="clear" w:color="auto" w:fill="FFFFFF"/>
        <w:kinsoku/>
        <w:wordWrap/>
        <w:overflowPunct/>
        <w:topLinePunct w:val="0"/>
        <w:autoSpaceDE/>
        <w:autoSpaceDN/>
        <w:bidi w:val="0"/>
        <w:spacing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3.申报</w:t>
      </w:r>
      <w:r>
        <w:rPr>
          <w:rFonts w:hint="eastAsia" w:ascii="仿宋_GB2312" w:eastAsia="仿宋_GB2312"/>
          <w:color w:val="auto"/>
          <w:sz w:val="32"/>
          <w:szCs w:val="32"/>
          <w:highlight w:val="none"/>
          <w:lang w:eastAsia="zh-CN"/>
        </w:rPr>
        <w:t>主体</w:t>
      </w:r>
      <w:r>
        <w:rPr>
          <w:rFonts w:hint="eastAsia" w:ascii="仿宋_GB2312" w:eastAsia="仿宋_GB2312"/>
          <w:color w:val="auto"/>
          <w:sz w:val="32"/>
          <w:szCs w:val="32"/>
          <w:highlight w:val="none"/>
        </w:rPr>
        <w:t>近</w:t>
      </w:r>
      <w:r>
        <w:rPr>
          <w:rFonts w:ascii="仿宋_GB2312" w:eastAsia="仿宋_GB2312"/>
          <w:color w:val="auto"/>
          <w:sz w:val="32"/>
          <w:szCs w:val="32"/>
          <w:highlight w:val="none"/>
        </w:rPr>
        <w:t>三</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不存在</w:t>
      </w:r>
      <w:r>
        <w:rPr>
          <w:rFonts w:hint="eastAsia" w:ascii="仿宋_GB2312" w:eastAsia="仿宋_GB2312"/>
          <w:color w:val="auto"/>
          <w:sz w:val="32"/>
          <w:szCs w:val="32"/>
          <w:highlight w:val="none"/>
        </w:rPr>
        <w:t>严重违法违规行为，未拖欠应缴还的财政性资金</w:t>
      </w:r>
      <w:r>
        <w:rPr>
          <w:rFonts w:ascii="仿宋_GB2312" w:eastAsia="仿宋_GB2312"/>
          <w:color w:val="auto"/>
          <w:sz w:val="32"/>
          <w:szCs w:val="32"/>
          <w:highlight w:val="none"/>
        </w:rPr>
        <w:t>。</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ascii="仿宋_GB2312" w:hAnsi="仿宋_GB2312" w:eastAsia="仿宋_GB2312" w:cs="仿宋_GB2312"/>
          <w:color w:val="auto"/>
          <w:sz w:val="32"/>
          <w:szCs w:val="32"/>
        </w:rPr>
        <w:t>.</w:t>
      </w:r>
      <w:r>
        <w:rPr>
          <w:rFonts w:hint="eastAsia" w:ascii="仿宋_GB2312" w:eastAsia="仿宋_GB2312"/>
          <w:color w:val="auto"/>
          <w:sz w:val="32"/>
          <w:szCs w:val="32"/>
        </w:rPr>
        <w:t>申报主体应</w:t>
      </w:r>
      <w:r>
        <w:rPr>
          <w:rFonts w:hint="eastAsia" w:ascii="仿宋_GB2312" w:eastAsia="仿宋_GB2312"/>
          <w:color w:val="auto"/>
          <w:sz w:val="32"/>
          <w:szCs w:val="32"/>
          <w:lang w:eastAsia="zh-CN"/>
        </w:rPr>
        <w:t>承担资金真实申报、合规使用和有效管理主体责任，</w:t>
      </w:r>
      <w:r>
        <w:rPr>
          <w:rFonts w:ascii="仿宋_GB2312" w:eastAsia="仿宋_GB2312"/>
          <w:color w:val="auto"/>
          <w:sz w:val="32"/>
          <w:szCs w:val="32"/>
        </w:rPr>
        <w:t>对申报材料的真实性、合法性、完整性负责，</w:t>
      </w:r>
      <w:r>
        <w:rPr>
          <w:rFonts w:hint="eastAsia" w:ascii="仿宋_GB2312" w:eastAsia="仿宋_GB2312"/>
          <w:color w:val="auto"/>
          <w:sz w:val="32"/>
          <w:szCs w:val="32"/>
        </w:rPr>
        <w:t>应</w:t>
      </w:r>
      <w:r>
        <w:rPr>
          <w:rFonts w:ascii="仿宋_GB2312" w:eastAsia="仿宋_GB2312"/>
          <w:color w:val="auto"/>
          <w:sz w:val="32"/>
          <w:szCs w:val="32"/>
        </w:rPr>
        <w:t>如实提供本单位信用状况，</w:t>
      </w:r>
      <w:r>
        <w:rPr>
          <w:rFonts w:hint="eastAsia" w:ascii="仿宋_GB2312" w:eastAsia="仿宋_GB2312"/>
          <w:color w:val="auto"/>
          <w:sz w:val="32"/>
          <w:szCs w:val="32"/>
        </w:rPr>
        <w:t>承诺</w:t>
      </w:r>
      <w:r>
        <w:rPr>
          <w:rFonts w:ascii="仿宋_GB2312" w:eastAsia="仿宋_GB2312"/>
          <w:color w:val="auto"/>
          <w:sz w:val="32"/>
          <w:szCs w:val="32"/>
        </w:rPr>
        <w:t>承担违约责任，不得弄虚作假、套取、骗取专项资金</w:t>
      </w:r>
      <w:r>
        <w:rPr>
          <w:rFonts w:hint="eastAsia" w:ascii="仿宋_GB2312" w:hAnsi="仿宋_GB2312" w:eastAsia="仿宋_GB2312" w:cs="仿宋_GB2312"/>
          <w:color w:val="auto"/>
          <w:sz w:val="32"/>
          <w:szCs w:val="32"/>
        </w:rPr>
        <w:t>。</w:t>
      </w:r>
    </w:p>
    <w:p>
      <w:pPr>
        <w:keepNext w:val="0"/>
        <w:keepLines w:val="0"/>
        <w:pageBreakBefore w:val="0"/>
        <w:tabs>
          <w:tab w:val="left" w:pos="798"/>
        </w:tabs>
        <w:kinsoku/>
        <w:wordWrap/>
        <w:overflowPunct/>
        <w:topLinePunct w:val="0"/>
        <w:autoSpaceDE/>
        <w:autoSpaceDN/>
        <w:bidi w:val="0"/>
        <w:adjustRightInd w:val="0"/>
        <w:snapToGrid w:val="0"/>
        <w:spacing w:line="560" w:lineRule="exact"/>
        <w:ind w:firstLine="640" w:firstLineChars="200"/>
        <w:jc w:val="left"/>
        <w:textAlignment w:val="auto"/>
        <w:rPr>
          <w:rFonts w:hint="default"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.申报项目</w:t>
      </w:r>
      <w:r>
        <w:rPr>
          <w:rFonts w:ascii="仿宋_GB2312" w:hAnsi="仿宋_GB2312" w:eastAsia="仿宋_GB2312" w:cs="仿宋_GB2312"/>
          <w:color w:val="auto"/>
          <w:sz w:val="32"/>
          <w:szCs w:val="32"/>
        </w:rPr>
        <w:t>未以</w:t>
      </w:r>
      <w:r>
        <w:rPr>
          <w:rFonts w:hint="eastAsia" w:ascii="仿宋_GB2312" w:hAnsi="仿宋_GB2312" w:eastAsia="仿宋_GB2312" w:cs="仿宋_GB2312"/>
          <w:color w:val="auto"/>
          <w:sz w:val="32"/>
          <w:szCs w:val="32"/>
        </w:rPr>
        <w:t>同一事项</w:t>
      </w:r>
      <w:r>
        <w:rPr>
          <w:rFonts w:ascii="仿宋_GB2312" w:hAnsi="仿宋_GB2312" w:eastAsia="仿宋_GB2312" w:cs="仿宋_GB2312"/>
          <w:color w:val="auto"/>
          <w:sz w:val="32"/>
          <w:szCs w:val="32"/>
        </w:rPr>
        <w:t>从其他渠道获得</w:t>
      </w:r>
      <w:r>
        <w:rPr>
          <w:rFonts w:hint="eastAsia" w:ascii="仿宋_GB2312" w:hAnsi="仿宋_GB2312" w:eastAsia="仿宋_GB2312" w:cs="仿宋_GB2312"/>
          <w:color w:val="auto"/>
          <w:sz w:val="32"/>
          <w:szCs w:val="32"/>
          <w:lang w:val="en-US" w:eastAsia="zh-CN"/>
        </w:rPr>
        <w:t>中央</w:t>
      </w:r>
      <w:r>
        <w:rPr>
          <w:rFonts w:ascii="仿宋_GB2312" w:hAnsi="仿宋_GB2312" w:eastAsia="仿宋_GB2312" w:cs="仿宋_GB2312"/>
          <w:color w:val="auto"/>
          <w:sz w:val="32"/>
          <w:szCs w:val="32"/>
        </w:rPr>
        <w:t>财政资金支持。</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（二）</w:t>
      </w:r>
      <w:r>
        <w:rPr>
          <w:rFonts w:ascii="楷体_GB2312" w:hAnsi="楷体_GB2312" w:eastAsia="楷体_GB2312" w:cs="楷体_GB2312"/>
          <w:color w:val="auto"/>
          <w:sz w:val="32"/>
          <w:szCs w:val="32"/>
          <w:highlight w:val="none"/>
        </w:rPr>
        <w:t>专项条件</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_GB2312" w:cstheme="minorBidi"/>
          <w:color w:val="auto"/>
          <w:kern w:val="2"/>
          <w:sz w:val="32"/>
          <w:szCs w:val="32"/>
          <w:lang w:val="en-US" w:eastAsia="zh-CN" w:bidi="ar-SA"/>
        </w:rPr>
      </w:pPr>
      <w:r>
        <w:rPr>
          <w:rFonts w:hint="eastAsia" w:ascii="仿宋_GB2312" w:eastAsia="仿宋_GB2312" w:cstheme="minorBidi"/>
          <w:color w:val="auto"/>
          <w:kern w:val="2"/>
          <w:sz w:val="32"/>
          <w:szCs w:val="32"/>
          <w:lang w:val="en-US" w:eastAsia="zh-CN" w:bidi="ar-SA"/>
        </w:rPr>
        <w:t>1.申报建设省级</w:t>
      </w:r>
      <w:r>
        <w:rPr>
          <w:rFonts w:hint="default" w:ascii="仿宋_GB2312" w:eastAsia="仿宋_GB2312" w:cstheme="minorBidi"/>
          <w:color w:val="auto"/>
          <w:kern w:val="2"/>
          <w:sz w:val="32"/>
          <w:szCs w:val="32"/>
          <w:lang w:val="en-US" w:eastAsia="zh-CN" w:bidi="ar-SA"/>
        </w:rPr>
        <w:t>海外</w:t>
      </w:r>
      <w:r>
        <w:rPr>
          <w:rFonts w:hint="eastAsia" w:ascii="仿宋_GB2312" w:eastAsia="仿宋_GB2312" w:cstheme="minorBidi"/>
          <w:color w:val="auto"/>
          <w:kern w:val="2"/>
          <w:sz w:val="32"/>
          <w:szCs w:val="32"/>
          <w:lang w:val="en-US" w:eastAsia="zh-CN" w:bidi="ar-SA"/>
        </w:rPr>
        <w:t>综合服务平台支持项目的企业或组织，应获评“粤企出海综合服务港”，且</w:t>
      </w:r>
      <w:r>
        <w:rPr>
          <w:rFonts w:hint="eastAsia" w:ascii="仿宋_GB2312" w:eastAsia="仿宋_GB2312"/>
          <w:color w:val="auto"/>
          <w:sz w:val="32"/>
          <w:szCs w:val="32"/>
        </w:rPr>
        <w:t>在</w:t>
      </w:r>
      <w:r>
        <w:rPr>
          <w:rFonts w:hint="eastAsia" w:ascii="仿宋_GB2312" w:eastAsia="仿宋_GB2312"/>
          <w:color w:val="auto"/>
          <w:sz w:val="32"/>
          <w:szCs w:val="32"/>
          <w:lang w:eastAsia="zh-CN"/>
        </w:rPr>
        <w:t>2025年7月1日至2026年6月30日</w:t>
      </w:r>
      <w:r>
        <w:rPr>
          <w:rFonts w:hint="default" w:ascii="仿宋_GB2312" w:eastAsia="仿宋_GB2312"/>
          <w:color w:val="auto"/>
          <w:sz w:val="32"/>
          <w:szCs w:val="32"/>
        </w:rPr>
        <w:t>建设运营</w:t>
      </w:r>
      <w:r>
        <w:rPr>
          <w:rFonts w:hint="eastAsia" w:ascii="仿宋_GB2312" w:eastAsia="仿宋_GB2312"/>
          <w:color w:val="auto"/>
          <w:sz w:val="32"/>
          <w:szCs w:val="32"/>
        </w:rPr>
        <w:t>期间</w:t>
      </w:r>
      <w:r>
        <w:rPr>
          <w:rFonts w:hint="eastAsia" w:ascii="仿宋_GB2312" w:eastAsia="仿宋_GB2312"/>
          <w:color w:val="auto"/>
          <w:sz w:val="32"/>
          <w:szCs w:val="32"/>
          <w:lang w:val="en-US" w:eastAsia="zh-CN"/>
        </w:rPr>
        <w:t>，</w:t>
      </w:r>
      <w:r>
        <w:rPr>
          <w:rFonts w:hint="eastAsia" w:ascii="仿宋_GB2312" w:eastAsia="仿宋_GB2312" w:cstheme="minorBidi"/>
          <w:color w:val="auto"/>
          <w:kern w:val="2"/>
          <w:sz w:val="32"/>
          <w:szCs w:val="32"/>
          <w:lang w:val="en-US" w:eastAsia="zh-CN" w:bidi="ar-SA"/>
        </w:rPr>
        <w:t>须满足以下条件：</w:t>
      </w:r>
    </w:p>
    <w:p>
      <w:pPr>
        <w:pStyle w:val="3"/>
        <w:spacing w:line="560" w:lineRule="exact"/>
        <w:ind w:firstLine="640" w:firstLineChars="200"/>
        <w:rPr>
          <w:rFonts w:hint="eastAsia" w:ascii="仿宋_GB2312" w:eastAsia="仿宋_GB2312" w:cstheme="minorBidi"/>
          <w:color w:val="auto"/>
          <w:kern w:val="2"/>
          <w:sz w:val="32"/>
          <w:szCs w:val="32"/>
          <w:lang w:val="en-US" w:eastAsia="zh-CN" w:bidi="ar-SA"/>
        </w:rPr>
      </w:pPr>
      <w:r>
        <w:rPr>
          <w:rFonts w:hint="eastAsia" w:ascii="仿宋_GB2312" w:eastAsia="仿宋_GB2312" w:cstheme="minorBidi"/>
          <w:color w:val="auto"/>
          <w:kern w:val="2"/>
          <w:sz w:val="32"/>
          <w:szCs w:val="32"/>
          <w:lang w:val="en-US" w:eastAsia="zh-CN" w:bidi="ar-SA"/>
        </w:rPr>
        <w:t>（1）建立线上海外综合服务平台、建设线下“一站式”服务空间，开展运营统筹、协调各方资源。按照专业领域提供基础运营维护和技术架构支撑，根据线上平台各专区和子站建设需求，提供相应的人员、经费和专业资源；开展广泛宣传，将平台相应专区、子站页面链接至各相关部门、各区线上平台，线上平台注册用户累计达到50000名，推动线上平台浏览量累计达到100万次；配备人员对接及开展线下企业服务，服务我省、我市出海企业总数累计达到1000家次。（“累计达到”是指自平台成立之日起</w:t>
      </w:r>
      <w:r>
        <w:rPr>
          <w:rFonts w:hint="eastAsia" w:ascii="仿宋_GB2312" w:eastAsia="仿宋_GB2312"/>
          <w:color w:val="auto"/>
          <w:sz w:val="32"/>
          <w:szCs w:val="32"/>
          <w:lang w:eastAsia="zh-CN"/>
        </w:rPr>
        <w:t>至2026年6月30日</w:t>
      </w:r>
      <w:r>
        <w:rPr>
          <w:rFonts w:hint="default" w:ascii="仿宋_GB2312" w:eastAsia="仿宋_GB2312"/>
          <w:color w:val="auto"/>
          <w:sz w:val="32"/>
          <w:szCs w:val="32"/>
        </w:rPr>
        <w:t>建设运营</w:t>
      </w:r>
      <w:r>
        <w:rPr>
          <w:rFonts w:hint="eastAsia" w:ascii="仿宋_GB2312" w:eastAsia="仿宋_GB2312"/>
          <w:color w:val="auto"/>
          <w:sz w:val="32"/>
          <w:szCs w:val="32"/>
        </w:rPr>
        <w:t>期间</w:t>
      </w:r>
      <w:r>
        <w:rPr>
          <w:rFonts w:hint="eastAsia" w:ascii="仿宋_GB2312" w:eastAsia="仿宋_GB2312"/>
          <w:color w:val="auto"/>
          <w:sz w:val="32"/>
          <w:szCs w:val="32"/>
          <w:lang w:eastAsia="zh-CN"/>
        </w:rPr>
        <w:t>，下同</w:t>
      </w:r>
      <w:r>
        <w:rPr>
          <w:rFonts w:hint="eastAsia" w:ascii="仿宋_GB2312" w:eastAsia="仿宋_GB2312" w:cstheme="minorBidi"/>
          <w:color w:val="auto"/>
          <w:kern w:val="2"/>
          <w:sz w:val="32"/>
          <w:szCs w:val="32"/>
          <w:lang w:val="en-US" w:eastAsia="zh-CN" w:bidi="ar-SA"/>
        </w:rPr>
        <w:t>）</w:t>
      </w:r>
    </w:p>
    <w:p>
      <w:pPr>
        <w:pStyle w:val="3"/>
        <w:spacing w:line="560" w:lineRule="exact"/>
        <w:ind w:firstLine="640" w:firstLineChars="200"/>
        <w:rPr>
          <w:rFonts w:hint="eastAsia" w:ascii="仿宋_GB2312" w:eastAsia="仿宋_GB2312" w:cstheme="minorBidi"/>
          <w:color w:val="auto"/>
          <w:kern w:val="2"/>
          <w:sz w:val="32"/>
          <w:szCs w:val="32"/>
          <w:lang w:val="en-US" w:eastAsia="zh-CN" w:bidi="ar-SA"/>
        </w:rPr>
      </w:pPr>
      <w:r>
        <w:rPr>
          <w:rFonts w:hint="eastAsia" w:ascii="仿宋_GB2312" w:eastAsia="仿宋_GB2312" w:cstheme="minorBidi"/>
          <w:color w:val="auto"/>
          <w:kern w:val="2"/>
          <w:sz w:val="32"/>
          <w:szCs w:val="32"/>
          <w:lang w:val="en-US" w:eastAsia="zh-CN" w:bidi="ar-SA"/>
        </w:rPr>
        <w:t>（2）协调各相关部门、各区，联动省、市各行业协会、商协会、专业服务机构组织投资推介、供需对接、业务培训等各类出海活动不少于70场，帮助我省、我市出海企业对接专业服务机构，撮合商品、服务订单不少于100单；组织、策划境外考察和参展活动不少于10次；组织、举办各类风险预警提示宣讲活动、培训、讲座等不少于5场。</w:t>
      </w:r>
    </w:p>
    <w:p>
      <w:pPr>
        <w:pStyle w:val="3"/>
        <w:spacing w:line="560" w:lineRule="exact"/>
        <w:ind w:firstLine="640" w:firstLineChars="200"/>
        <w:rPr>
          <w:rFonts w:hint="eastAsia" w:ascii="仿宋_GB2312" w:eastAsia="仿宋_GB2312" w:cstheme="minorBidi"/>
          <w:color w:val="auto"/>
          <w:kern w:val="2"/>
          <w:sz w:val="32"/>
          <w:szCs w:val="32"/>
          <w:lang w:val="en-US" w:eastAsia="zh-CN" w:bidi="ar-SA"/>
        </w:rPr>
      </w:pPr>
      <w:r>
        <w:rPr>
          <w:rFonts w:hint="eastAsia" w:ascii="仿宋_GB2312" w:eastAsia="仿宋_GB2312" w:cstheme="minorBidi"/>
          <w:color w:val="auto"/>
          <w:kern w:val="2"/>
          <w:sz w:val="32"/>
          <w:szCs w:val="32"/>
          <w:lang w:val="en-US" w:eastAsia="zh-CN" w:bidi="ar-SA"/>
        </w:rPr>
        <w:t>（3）协调各相关部门，加强我省、我市企业出海风险提示，及时提供政策咨询，指导企业维护海外合法权益，形成预防或处理风险典型服务企业案例不少于10个。加强海外安全风险提示跟踪和发布，跟踪和发布风险信息不少于5条。用好调解、仲裁等多元化争端解决机制，协助我省、我市企业增强应对境外法律纠纷的能力，形成典型案例不少于2个。</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_GB2312" w:cstheme="minorBidi"/>
          <w:color w:val="auto"/>
          <w:kern w:val="2"/>
          <w:sz w:val="32"/>
          <w:szCs w:val="32"/>
          <w:lang w:val="en-US" w:eastAsia="zh-CN" w:bidi="ar-SA"/>
        </w:rPr>
      </w:pPr>
      <w:r>
        <w:rPr>
          <w:rFonts w:hint="eastAsia" w:ascii="仿宋_GB2312" w:eastAsia="仿宋_GB2312" w:cstheme="minorBidi"/>
          <w:color w:val="auto"/>
          <w:kern w:val="2"/>
          <w:sz w:val="32"/>
          <w:szCs w:val="32"/>
          <w:lang w:val="en-US" w:eastAsia="zh-CN" w:bidi="ar-SA"/>
        </w:rPr>
        <w:t>（4）协调各相关部门，依托港澳地区在跨境投资贸易、金融、法律等领域优势，拓展经贸合作机制，形成联动港澳案例不少于5个。拓展“一带一路”、友好国家等境外经贸园区合作网络，建立关系合作园区数量累计达到50个。</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_GB2312" w:cstheme="minorBidi"/>
          <w:color w:val="auto"/>
          <w:kern w:val="2"/>
          <w:sz w:val="32"/>
          <w:szCs w:val="32"/>
          <w:lang w:val="en-US" w:eastAsia="zh-CN" w:bidi="ar-SA"/>
        </w:rPr>
      </w:pPr>
      <w:r>
        <w:rPr>
          <w:rFonts w:hint="eastAsia" w:ascii="仿宋_GB2312" w:eastAsia="仿宋_GB2312" w:cstheme="minorBidi"/>
          <w:color w:val="auto"/>
          <w:kern w:val="2"/>
          <w:sz w:val="32"/>
          <w:szCs w:val="32"/>
          <w:lang w:val="en-US" w:eastAsia="zh-CN" w:bidi="ar-SA"/>
        </w:rPr>
        <w:t>2.申报建设省级海外联络站支持项目的企业或组织，应获评“粤企出海服务联络站”，</w:t>
      </w:r>
      <w:r>
        <w:rPr>
          <w:rFonts w:hint="eastAsia" w:ascii="仿宋_GB2312" w:eastAsia="仿宋_GB2312"/>
          <w:color w:val="auto"/>
          <w:sz w:val="32"/>
          <w:szCs w:val="32"/>
        </w:rPr>
        <w:t>在</w:t>
      </w:r>
      <w:r>
        <w:rPr>
          <w:rFonts w:hint="eastAsia" w:ascii="仿宋_GB2312" w:eastAsia="仿宋_GB2312"/>
          <w:color w:val="auto"/>
          <w:sz w:val="32"/>
          <w:szCs w:val="32"/>
          <w:lang w:eastAsia="zh-CN"/>
        </w:rPr>
        <w:t>2025年7月1日至2026年6月30日</w:t>
      </w:r>
      <w:r>
        <w:rPr>
          <w:rFonts w:hint="default" w:ascii="仿宋_GB2312" w:eastAsia="仿宋_GB2312"/>
          <w:color w:val="auto"/>
          <w:sz w:val="32"/>
          <w:szCs w:val="32"/>
        </w:rPr>
        <w:t>建设运营</w:t>
      </w:r>
      <w:r>
        <w:rPr>
          <w:rFonts w:hint="eastAsia" w:ascii="仿宋_GB2312" w:eastAsia="仿宋_GB2312"/>
          <w:color w:val="auto"/>
          <w:sz w:val="32"/>
          <w:szCs w:val="32"/>
        </w:rPr>
        <w:t>期间</w:t>
      </w:r>
      <w:r>
        <w:rPr>
          <w:rFonts w:hint="eastAsia" w:ascii="仿宋_GB2312" w:eastAsia="仿宋_GB2312"/>
          <w:color w:val="auto"/>
          <w:sz w:val="32"/>
          <w:szCs w:val="32"/>
          <w:lang w:val="en-US" w:eastAsia="zh-CN"/>
        </w:rPr>
        <w:t>，</w:t>
      </w:r>
      <w:r>
        <w:rPr>
          <w:rFonts w:hint="eastAsia" w:ascii="仿宋_GB2312" w:eastAsia="仿宋_GB2312" w:cstheme="minorBidi"/>
          <w:color w:val="auto"/>
          <w:kern w:val="2"/>
          <w:sz w:val="32"/>
          <w:szCs w:val="32"/>
          <w:lang w:val="en-US" w:eastAsia="zh-CN" w:bidi="ar-SA"/>
        </w:rPr>
        <w:t>须满足以下条件：</w:t>
      </w:r>
    </w:p>
    <w:p>
      <w:pPr>
        <w:widowControl/>
        <w:shd w:val="clear" w:color="auto" w:fill="FFFFFF"/>
        <w:adjustRightInd w:val="0"/>
        <w:snapToGrid w:val="0"/>
        <w:spacing w:line="560" w:lineRule="exact"/>
        <w:ind w:firstLine="640" w:firstLineChars="200"/>
        <w:rPr>
          <w:rFonts w:hint="eastAsia" w:ascii="仿宋_GB2312" w:eastAsia="仿宋_GB2312" w:cstheme="minorBidi"/>
          <w:color w:val="auto"/>
          <w:kern w:val="2"/>
          <w:sz w:val="32"/>
          <w:szCs w:val="32"/>
          <w:lang w:val="en-US" w:eastAsia="zh-CN" w:bidi="ar-SA"/>
        </w:rPr>
      </w:pPr>
      <w:r>
        <w:rPr>
          <w:rFonts w:hint="eastAsia" w:ascii="仿宋_GB2312" w:eastAsia="仿宋_GB2312" w:cstheme="minorBidi"/>
          <w:color w:val="auto"/>
          <w:kern w:val="2"/>
          <w:sz w:val="32"/>
          <w:szCs w:val="32"/>
          <w:lang w:val="en-US" w:eastAsia="zh-CN" w:bidi="ar-SA"/>
        </w:rPr>
        <w:t>（1）组织对外投资合作企业对接交流、政策宣讲、实地考察等活动不少于15场。</w:t>
      </w:r>
    </w:p>
    <w:p>
      <w:pPr>
        <w:widowControl/>
        <w:shd w:val="clear" w:color="auto" w:fill="FFFFFF"/>
        <w:adjustRightInd w:val="0"/>
        <w:snapToGrid w:val="0"/>
        <w:spacing w:line="560" w:lineRule="exact"/>
        <w:ind w:firstLine="640" w:firstLineChars="200"/>
        <w:rPr>
          <w:rFonts w:hint="eastAsia" w:ascii="仿宋_GB2312" w:eastAsia="仿宋_GB2312" w:cstheme="minorBidi"/>
          <w:color w:val="auto"/>
          <w:kern w:val="2"/>
          <w:sz w:val="32"/>
          <w:szCs w:val="32"/>
          <w:lang w:val="en-US" w:eastAsia="zh-CN" w:bidi="ar-SA"/>
        </w:rPr>
      </w:pPr>
      <w:r>
        <w:rPr>
          <w:rFonts w:hint="eastAsia" w:ascii="仿宋_GB2312" w:eastAsia="仿宋_GB2312" w:cstheme="minorBidi"/>
          <w:color w:val="auto"/>
          <w:kern w:val="2"/>
          <w:sz w:val="32"/>
          <w:szCs w:val="32"/>
          <w:lang w:val="en-US" w:eastAsia="zh-CN" w:bidi="ar-SA"/>
        </w:rPr>
        <w:t>（2）完成服务企业国际化案例不少于10个，服务范围包括但不限于国际资源对接、出海相关咨询问题解答、专业专家对接，全方位助力企业提升国际化运营能力。</w:t>
      </w:r>
    </w:p>
    <w:p>
      <w:pPr>
        <w:widowControl/>
        <w:shd w:val="clear" w:color="auto" w:fill="FFFFFF"/>
        <w:adjustRightInd w:val="0"/>
        <w:snapToGrid w:val="0"/>
        <w:spacing w:line="560" w:lineRule="exact"/>
        <w:ind w:firstLine="640" w:firstLineChars="200"/>
        <w:rPr>
          <w:rFonts w:hint="eastAsia" w:ascii="仿宋_GB2312" w:eastAsia="仿宋_GB2312" w:cstheme="minorBidi"/>
          <w:color w:val="auto"/>
          <w:kern w:val="2"/>
          <w:sz w:val="32"/>
          <w:szCs w:val="32"/>
          <w:lang w:val="en-US" w:eastAsia="zh-CN" w:bidi="ar-SA"/>
        </w:rPr>
      </w:pPr>
      <w:r>
        <w:rPr>
          <w:rFonts w:hint="eastAsia" w:ascii="仿宋_GB2312" w:eastAsia="仿宋_GB2312" w:cstheme="minorBidi"/>
          <w:color w:val="auto"/>
          <w:kern w:val="2"/>
          <w:sz w:val="32"/>
          <w:szCs w:val="32"/>
          <w:lang w:val="en-US" w:eastAsia="zh-CN" w:bidi="ar-SA"/>
        </w:rPr>
        <w:t>（3）搭建专业服务体系，与不少于10家法律、财税、人力资源、金融保险、知识产权等领域专业服务机构建立业务联系、合作关系。</w:t>
      </w:r>
    </w:p>
    <w:p>
      <w:pPr>
        <w:widowControl/>
        <w:shd w:val="clear" w:color="auto" w:fill="FFFFFF"/>
        <w:adjustRightInd w:val="0"/>
        <w:snapToGrid w:val="0"/>
        <w:spacing w:line="560" w:lineRule="exact"/>
        <w:ind w:firstLine="640" w:firstLineChars="200"/>
        <w:rPr>
          <w:rFonts w:hint="eastAsia" w:ascii="仿宋_GB2312" w:eastAsia="仿宋_GB2312" w:cstheme="minorBidi"/>
          <w:color w:val="auto"/>
          <w:kern w:val="2"/>
          <w:sz w:val="32"/>
          <w:szCs w:val="32"/>
          <w:lang w:val="en-US" w:eastAsia="zh-CN" w:bidi="ar-SA"/>
        </w:rPr>
      </w:pPr>
      <w:r>
        <w:rPr>
          <w:rFonts w:hint="eastAsia" w:ascii="仿宋_GB2312" w:eastAsia="仿宋_GB2312" w:cstheme="minorBidi"/>
          <w:color w:val="auto"/>
          <w:kern w:val="2"/>
          <w:sz w:val="32"/>
          <w:szCs w:val="32"/>
          <w:lang w:val="en-US" w:eastAsia="zh-CN" w:bidi="ar-SA"/>
        </w:rPr>
        <w:t>（4）积极构建国际化合作网络，与境外官方机构、协会等主体开展对接企业协同服务、活动交流等相关工作不少于30次，进一步拓宽企业出海合作渠道。</w:t>
      </w:r>
    </w:p>
    <w:p>
      <w:pPr>
        <w:widowControl/>
        <w:shd w:val="clear" w:color="auto" w:fill="FFFFFF"/>
        <w:adjustRightInd w:val="0"/>
        <w:snapToGrid w:val="0"/>
        <w:spacing w:line="560" w:lineRule="exact"/>
        <w:ind w:firstLine="640" w:firstLineChars="200"/>
        <w:rPr>
          <w:rFonts w:hint="default"/>
          <w:lang w:val="en-US" w:eastAsia="zh-CN"/>
        </w:rPr>
      </w:pPr>
      <w:r>
        <w:rPr>
          <w:rFonts w:hint="eastAsia" w:ascii="仿宋_GB2312" w:eastAsia="仿宋_GB2312" w:cstheme="minorBidi"/>
          <w:color w:val="auto"/>
          <w:kern w:val="2"/>
          <w:sz w:val="32"/>
          <w:szCs w:val="32"/>
          <w:lang w:val="en-US" w:eastAsia="zh-CN" w:bidi="ar-SA"/>
        </w:rPr>
        <w:t>（5）推动服务国内企业出海有关案例的宣传工作，包括但不限于线下制作宣传手册、线上在公众号、官网、微博等宣传渠道转发有关服务企业出海案例等宣传案例不少于10个。</w:t>
      </w:r>
    </w:p>
    <w:p>
      <w:pPr>
        <w:keepNext w:val="0"/>
        <w:keepLines w:val="0"/>
        <w:pageBreakBefore w:val="0"/>
        <w:tabs>
          <w:tab w:val="center" w:pos="4153"/>
        </w:tabs>
        <w:kinsoku/>
        <w:wordWrap/>
        <w:overflowPunct/>
        <w:topLinePunct w:val="0"/>
        <w:autoSpaceDE/>
        <w:autoSpaceDN/>
        <w:bidi w:val="0"/>
        <w:adjustRightInd w:val="0"/>
        <w:snapToGrid w:val="0"/>
        <w:spacing w:line="560" w:lineRule="exact"/>
        <w:ind w:firstLine="630"/>
        <w:textAlignment w:val="auto"/>
        <w:rPr>
          <w:rFonts w:ascii="黑体" w:hAnsi="黑体" w:eastAsia="黑体" w:cs="黑体"/>
          <w:bCs/>
          <w:color w:val="auto"/>
          <w:sz w:val="32"/>
          <w:szCs w:val="32"/>
        </w:rPr>
      </w:pPr>
      <w:r>
        <w:rPr>
          <w:rFonts w:hint="eastAsia" w:ascii="黑体" w:hAnsi="黑体" w:eastAsia="黑体" w:cs="黑体"/>
          <w:bCs/>
          <w:color w:val="auto"/>
          <w:sz w:val="32"/>
          <w:szCs w:val="32"/>
        </w:rPr>
        <w:t>五、支持内容</w:t>
      </w:r>
      <w:r>
        <w:rPr>
          <w:rFonts w:hint="default" w:ascii="黑体" w:hAnsi="黑体" w:eastAsia="黑体" w:cs="黑体"/>
          <w:bCs/>
          <w:color w:val="auto"/>
          <w:sz w:val="32"/>
          <w:szCs w:val="32"/>
        </w:rPr>
        <w:t>和支持标准</w:t>
      </w:r>
      <w:r>
        <w:rPr>
          <w:rFonts w:hint="eastAsia" w:ascii="黑体" w:hAnsi="黑体" w:eastAsia="黑体" w:cs="黑体"/>
          <w:bCs/>
          <w:color w:val="auto"/>
          <w:sz w:val="32"/>
          <w:szCs w:val="32"/>
        </w:rPr>
        <w:tab/>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（一）支持内容</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1.建设省级海外综合服务平台支持项目</w:t>
      </w:r>
    </w:p>
    <w:p>
      <w:pPr>
        <w:keepNext w:val="0"/>
        <w:keepLines w:val="0"/>
        <w:pageBreakBefore w:val="0"/>
        <w:tabs>
          <w:tab w:val="left" w:pos="5227"/>
        </w:tabs>
        <w:kinsoku/>
        <w:wordWrap/>
        <w:overflowPunct/>
        <w:topLinePunct w:val="0"/>
        <w:autoSpaceDE/>
        <w:autoSpaceDN/>
        <w:bidi w:val="0"/>
        <w:adjustRightInd w:val="0"/>
        <w:snapToGrid w:val="0"/>
        <w:spacing w:line="560" w:lineRule="exact"/>
        <w:ind w:firstLine="63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支持建设省级</w:t>
      </w:r>
      <w:r>
        <w:rPr>
          <w:rFonts w:hint="eastAsia" w:ascii="仿宋_GB2312" w:eastAsia="仿宋_GB2312"/>
          <w:color w:val="auto"/>
          <w:sz w:val="32"/>
          <w:szCs w:val="32"/>
        </w:rPr>
        <w:t>海外综合服务平台</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针对满足基础条件及专项条件的申报主体，</w:t>
      </w:r>
      <w:r>
        <w:rPr>
          <w:rFonts w:hint="eastAsia" w:ascii="仿宋_GB2312" w:eastAsia="仿宋_GB2312"/>
          <w:color w:val="auto"/>
          <w:sz w:val="32"/>
          <w:szCs w:val="32"/>
          <w:lang w:eastAsia="zh-CN"/>
        </w:rPr>
        <w:t>给予</w:t>
      </w:r>
      <w:r>
        <w:rPr>
          <w:rFonts w:hint="eastAsia" w:ascii="仿宋_GB2312" w:eastAsia="仿宋_GB2312"/>
          <w:color w:val="auto"/>
          <w:sz w:val="32"/>
          <w:szCs w:val="32"/>
          <w:lang w:val="en-US" w:eastAsia="zh-CN"/>
        </w:rPr>
        <w:t>每家申报主体400万元</w:t>
      </w:r>
      <w:r>
        <w:rPr>
          <w:rFonts w:hint="eastAsia" w:ascii="仿宋_GB2312" w:eastAsia="仿宋_GB2312"/>
          <w:color w:val="auto"/>
          <w:sz w:val="32"/>
          <w:szCs w:val="32"/>
          <w:lang w:eastAsia="zh-CN"/>
        </w:rPr>
        <w:t>人民币</w:t>
      </w:r>
      <w:r>
        <w:rPr>
          <w:rFonts w:hint="eastAsia" w:ascii="仿宋_GB2312" w:eastAsia="仿宋_GB2312"/>
          <w:color w:val="auto"/>
          <w:sz w:val="32"/>
          <w:szCs w:val="32"/>
          <w:lang w:val="en-US" w:eastAsia="zh-CN"/>
        </w:rPr>
        <w:t>的一次性奖励。省级</w:t>
      </w:r>
      <w:r>
        <w:rPr>
          <w:rFonts w:hint="eastAsia" w:ascii="仿宋_GB2312" w:eastAsia="仿宋_GB2312"/>
          <w:color w:val="auto"/>
          <w:sz w:val="32"/>
          <w:szCs w:val="32"/>
          <w:lang w:eastAsia="zh-CN"/>
        </w:rPr>
        <w:t>海外综合服务平台是是指</w:t>
      </w:r>
      <w:r>
        <w:rPr>
          <w:rFonts w:hint="eastAsia" w:ascii="仿宋_GB2312" w:eastAsia="仿宋_GB2312" w:cstheme="minorBidi"/>
          <w:color w:val="auto"/>
          <w:kern w:val="2"/>
          <w:sz w:val="32"/>
          <w:szCs w:val="32"/>
          <w:lang w:val="en-US" w:eastAsia="zh-CN" w:bidi="ar-SA"/>
        </w:rPr>
        <w:t>获评“粤企出海综合服务港”，具备</w:t>
      </w:r>
      <w:r>
        <w:rPr>
          <w:rFonts w:hint="eastAsia" w:ascii="仿宋_GB2312" w:eastAsia="仿宋_GB2312"/>
          <w:color w:val="auto"/>
          <w:sz w:val="32"/>
          <w:szCs w:val="32"/>
          <w:highlight w:val="none"/>
          <w:lang w:val="en-US" w:eastAsia="zh-CN"/>
        </w:rPr>
        <w:t>打造</w:t>
      </w:r>
      <w:r>
        <w:rPr>
          <w:rFonts w:hint="eastAsia" w:ascii="仿宋_GB2312" w:eastAsia="仿宋_GB2312"/>
          <w:color w:val="auto"/>
          <w:sz w:val="32"/>
          <w:szCs w:val="32"/>
          <w:highlight w:val="none"/>
          <w:lang w:eastAsia="zh-CN"/>
        </w:rPr>
        <w:t>拓展</w:t>
      </w:r>
      <w:r>
        <w:rPr>
          <w:rFonts w:hint="eastAsia" w:ascii="仿宋_GB2312" w:eastAsia="仿宋_GB2312"/>
          <w:color w:val="auto"/>
          <w:sz w:val="32"/>
          <w:szCs w:val="32"/>
          <w:highlight w:val="none"/>
        </w:rPr>
        <w:t>产品出海、投资出海和服务出海</w:t>
      </w:r>
      <w:r>
        <w:rPr>
          <w:rFonts w:hint="eastAsia" w:ascii="仿宋_GB2312" w:eastAsia="仿宋_GB2312"/>
          <w:color w:val="auto"/>
          <w:sz w:val="32"/>
          <w:szCs w:val="32"/>
          <w:highlight w:val="none"/>
          <w:lang w:val="en-US" w:eastAsia="zh-CN"/>
        </w:rPr>
        <w:t>的</w:t>
      </w:r>
      <w:r>
        <w:rPr>
          <w:rFonts w:hint="eastAsia" w:ascii="仿宋_GB2312" w:eastAsia="仿宋_GB2312"/>
          <w:color w:val="auto"/>
          <w:sz w:val="32"/>
          <w:szCs w:val="32"/>
          <w:highlight w:val="none"/>
        </w:rPr>
        <w:t>全领域覆盖</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线上+线下</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专业服务机构</w:t>
      </w:r>
      <w:r>
        <w:rPr>
          <w:rFonts w:hint="default" w:ascii="仿宋_GB2312" w:eastAsia="仿宋_GB2312"/>
          <w:color w:val="auto"/>
          <w:sz w:val="32"/>
          <w:szCs w:val="32"/>
          <w:highlight w:val="none"/>
        </w:rPr>
        <w:t>，</w:t>
      </w:r>
      <w:r>
        <w:rPr>
          <w:rFonts w:hint="eastAsia" w:ascii="仿宋_GB2312" w:eastAsia="仿宋_GB2312"/>
          <w:color w:val="auto"/>
          <w:sz w:val="32"/>
          <w:szCs w:val="32"/>
          <w:highlight w:val="none"/>
        </w:rPr>
        <w:t>提供</w:t>
      </w:r>
      <w:r>
        <w:rPr>
          <w:rFonts w:hint="eastAsia" w:ascii="仿宋_GB2312" w:eastAsia="仿宋_GB2312"/>
          <w:color w:val="auto"/>
          <w:sz w:val="32"/>
          <w:szCs w:val="32"/>
          <w:highlight w:val="none"/>
          <w:lang w:eastAsia="zh-CN"/>
        </w:rPr>
        <w:t>企业海外项目投资的</w:t>
      </w:r>
      <w:r>
        <w:rPr>
          <w:rFonts w:hint="eastAsia" w:ascii="仿宋_GB2312" w:eastAsia="仿宋_GB2312"/>
          <w:color w:val="auto"/>
          <w:sz w:val="32"/>
          <w:szCs w:val="32"/>
          <w:highlight w:val="none"/>
        </w:rPr>
        <w:t>前期规划、筹备组建、落地经营和安全发展</w:t>
      </w:r>
      <w:r>
        <w:rPr>
          <w:rFonts w:hint="eastAsia" w:ascii="仿宋_GB2312" w:eastAsia="仿宋_GB2312"/>
          <w:color w:val="auto"/>
          <w:sz w:val="32"/>
          <w:szCs w:val="32"/>
          <w:highlight w:val="none"/>
          <w:lang w:eastAsia="zh-CN"/>
        </w:rPr>
        <w:t>等</w:t>
      </w:r>
      <w:r>
        <w:rPr>
          <w:rFonts w:hint="eastAsia" w:ascii="仿宋_GB2312" w:eastAsia="仿宋_GB2312"/>
          <w:color w:val="auto"/>
          <w:sz w:val="32"/>
          <w:szCs w:val="32"/>
          <w:highlight w:val="none"/>
        </w:rPr>
        <w:t>全方位、一站式出海服务</w:t>
      </w:r>
      <w:r>
        <w:rPr>
          <w:rFonts w:hint="eastAsia" w:ascii="仿宋_GB2312" w:eastAsia="仿宋_GB2312"/>
          <w:color w:val="auto"/>
          <w:sz w:val="32"/>
          <w:szCs w:val="32"/>
          <w:highlight w:val="none"/>
          <w:lang w:val="en-US" w:eastAsia="zh-CN"/>
        </w:rPr>
        <w:t>的平台</w:t>
      </w:r>
      <w:r>
        <w:rPr>
          <w:rFonts w:hint="eastAsia" w:ascii="仿宋_GB2312" w:eastAsia="仿宋_GB2312"/>
          <w:color w:val="auto"/>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2.建设省级海外联络站支持项目</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支持建设省级海外联络站，</w:t>
      </w:r>
      <w:r>
        <w:rPr>
          <w:rFonts w:hint="eastAsia" w:ascii="仿宋_GB2312" w:eastAsia="仿宋_GB2312"/>
          <w:color w:val="auto"/>
          <w:sz w:val="32"/>
          <w:szCs w:val="32"/>
          <w:highlight w:val="none"/>
          <w:lang w:val="en-US" w:eastAsia="zh-CN"/>
        </w:rPr>
        <w:t>针对满足基础条件及专项条件的申报主体予以支持，</w:t>
      </w:r>
      <w:r>
        <w:rPr>
          <w:rFonts w:hint="eastAsia" w:ascii="仿宋_GB2312" w:eastAsia="仿宋_GB2312"/>
          <w:color w:val="auto"/>
          <w:sz w:val="32"/>
          <w:szCs w:val="32"/>
          <w:lang w:eastAsia="zh-CN"/>
        </w:rPr>
        <w:t>给予</w:t>
      </w:r>
      <w:r>
        <w:rPr>
          <w:rFonts w:hint="eastAsia" w:ascii="仿宋_GB2312" w:eastAsia="仿宋_GB2312"/>
          <w:color w:val="auto"/>
          <w:sz w:val="32"/>
          <w:szCs w:val="32"/>
          <w:lang w:val="en-US" w:eastAsia="zh-CN"/>
        </w:rPr>
        <w:t>每家申报主体50万元</w:t>
      </w:r>
      <w:r>
        <w:rPr>
          <w:rFonts w:hint="eastAsia" w:ascii="仿宋_GB2312" w:eastAsia="仿宋_GB2312"/>
          <w:color w:val="auto"/>
          <w:sz w:val="32"/>
          <w:szCs w:val="32"/>
          <w:lang w:eastAsia="zh-CN"/>
        </w:rPr>
        <w:t>人民币</w:t>
      </w:r>
      <w:r>
        <w:rPr>
          <w:rFonts w:hint="eastAsia" w:ascii="仿宋_GB2312" w:eastAsia="仿宋_GB2312"/>
          <w:color w:val="auto"/>
          <w:sz w:val="32"/>
          <w:szCs w:val="32"/>
          <w:lang w:val="en-US" w:eastAsia="zh-CN"/>
        </w:rPr>
        <w:t>的一次性奖励资金</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省级海外联络站</w:t>
      </w:r>
      <w:r>
        <w:rPr>
          <w:rFonts w:hint="eastAsia" w:ascii="仿宋_GB2312" w:eastAsia="仿宋_GB2312"/>
          <w:color w:val="auto"/>
          <w:sz w:val="32"/>
          <w:szCs w:val="32"/>
          <w:lang w:eastAsia="zh-CN"/>
        </w:rPr>
        <w:t>是指</w:t>
      </w:r>
      <w:r>
        <w:rPr>
          <w:rFonts w:hint="eastAsia" w:ascii="仿宋_GB2312" w:eastAsia="仿宋_GB2312" w:cstheme="minorBidi"/>
          <w:color w:val="auto"/>
          <w:kern w:val="2"/>
          <w:sz w:val="32"/>
          <w:szCs w:val="32"/>
          <w:lang w:val="en-US" w:eastAsia="zh-CN" w:bidi="ar-SA"/>
        </w:rPr>
        <w:t>获评“粤企出海服务联络站”，具备</w:t>
      </w:r>
      <w:r>
        <w:rPr>
          <w:rFonts w:hint="eastAsia" w:ascii="仿宋_GB2312" w:eastAsia="仿宋_GB2312"/>
          <w:color w:val="auto"/>
          <w:sz w:val="32"/>
          <w:szCs w:val="32"/>
          <w:highlight w:val="none"/>
          <w:lang w:val="en-US" w:eastAsia="zh-CN"/>
        </w:rPr>
        <w:t>打造资源汇聚、内外协同、专业高效的涉外综合服务机构，以境内站点或境外站点的形式，</w:t>
      </w:r>
      <w:r>
        <w:rPr>
          <w:rFonts w:hint="eastAsia" w:ascii="仿宋_GB2312" w:eastAsia="仿宋_GB2312"/>
          <w:color w:val="auto"/>
          <w:sz w:val="32"/>
          <w:szCs w:val="32"/>
          <w:highlight w:val="none"/>
          <w:lang w:eastAsia="zh-CN"/>
        </w:rPr>
        <w:t>提供对外投资合作信息咨询、对接撮合、法律与合规支持、跨境融资、税务筹划、人力资源、物流与供应链、风险预警和海外权益保护等服务</w:t>
      </w:r>
      <w:r>
        <w:rPr>
          <w:rFonts w:hint="eastAsia" w:ascii="仿宋_GB2312" w:eastAsia="仿宋_GB2312"/>
          <w:color w:val="auto"/>
          <w:sz w:val="32"/>
          <w:szCs w:val="32"/>
          <w:highlight w:val="none"/>
          <w:lang w:val="en-US" w:eastAsia="zh-CN"/>
        </w:rPr>
        <w:t>的平台。</w:t>
      </w:r>
      <w:r>
        <w:rPr>
          <w:rFonts w:hint="eastAsia" w:ascii="仿宋_GB2312" w:eastAsia="仿宋_GB2312"/>
          <w:color w:val="auto"/>
          <w:sz w:val="32"/>
          <w:szCs w:val="32"/>
          <w:lang w:val="en-US" w:eastAsia="zh-CN"/>
        </w:rPr>
        <w:t>具体分为：</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（1）境内站点。境内提供涉外综合服务的商协会、行业联盟等。</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（2）境外站点。境外经贸合作区、境外中资商协会等。</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其中，属于境外站点的，应由其境内实际投资控股主体进行申报。</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楷体_GB2312" w:hAnsi="楷体_GB2312" w:eastAsia="楷体_GB2312" w:cs="楷体_GB2312"/>
          <w:color w:val="auto"/>
          <w:sz w:val="32"/>
          <w:szCs w:val="32"/>
        </w:rPr>
      </w:pPr>
      <w:r>
        <w:rPr>
          <w:rFonts w:hint="default" w:ascii="楷体_GB2312" w:hAnsi="楷体_GB2312" w:eastAsia="楷体_GB2312" w:cs="楷体_GB2312"/>
          <w:color w:val="auto"/>
          <w:sz w:val="32"/>
          <w:szCs w:val="32"/>
        </w:rPr>
        <w:t>（二）支持标准</w:t>
      </w:r>
    </w:p>
    <w:p>
      <w:pPr>
        <w:keepNext w:val="0"/>
        <w:keepLines w:val="0"/>
        <w:pageBreakBefore w:val="0"/>
        <w:tabs>
          <w:tab w:val="left" w:pos="5227"/>
        </w:tabs>
        <w:kinsoku/>
        <w:wordWrap/>
        <w:overflowPunct/>
        <w:topLinePunct w:val="0"/>
        <w:autoSpaceDE/>
        <w:autoSpaceDN/>
        <w:bidi w:val="0"/>
        <w:adjustRightInd w:val="0"/>
        <w:snapToGrid w:val="0"/>
        <w:spacing w:line="560" w:lineRule="exact"/>
        <w:ind w:firstLine="630" w:firstLineChars="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1.</w:t>
      </w:r>
      <w:r>
        <w:rPr>
          <w:rFonts w:hint="eastAsia" w:ascii="仿宋_GB2312" w:eastAsia="仿宋_GB2312"/>
          <w:color w:val="auto"/>
          <w:sz w:val="32"/>
          <w:szCs w:val="32"/>
        </w:rPr>
        <w:t>对</w:t>
      </w:r>
      <w:r>
        <w:rPr>
          <w:rFonts w:hint="eastAsia" w:ascii="仿宋_GB2312" w:eastAsia="仿宋_GB2312"/>
          <w:color w:val="auto"/>
          <w:sz w:val="32"/>
          <w:szCs w:val="32"/>
          <w:lang w:eastAsia="zh-CN"/>
        </w:rPr>
        <w:t>符合条件的</w:t>
      </w:r>
      <w:r>
        <w:rPr>
          <w:rFonts w:hint="default" w:ascii="仿宋_GB2312" w:eastAsia="仿宋_GB2312"/>
          <w:color w:val="auto"/>
          <w:sz w:val="32"/>
          <w:szCs w:val="32"/>
        </w:rPr>
        <w:t>申报主体</w:t>
      </w:r>
      <w:r>
        <w:rPr>
          <w:rFonts w:hint="eastAsia" w:ascii="仿宋_GB2312" w:eastAsia="仿宋_GB2312"/>
          <w:color w:val="auto"/>
          <w:sz w:val="32"/>
          <w:szCs w:val="32"/>
        </w:rPr>
        <w:t>在</w:t>
      </w:r>
      <w:r>
        <w:rPr>
          <w:rFonts w:hint="eastAsia" w:ascii="仿宋_GB2312" w:eastAsia="仿宋_GB2312"/>
          <w:color w:val="auto"/>
          <w:sz w:val="32"/>
          <w:szCs w:val="32"/>
          <w:lang w:eastAsia="zh-CN"/>
        </w:rPr>
        <w:t>2025年7月1日至2026年6月30日</w:t>
      </w:r>
      <w:r>
        <w:rPr>
          <w:rFonts w:hint="eastAsia" w:ascii="仿宋_GB2312" w:eastAsia="仿宋_GB2312"/>
          <w:color w:val="auto"/>
          <w:sz w:val="32"/>
          <w:szCs w:val="32"/>
        </w:rPr>
        <w:t>期间</w:t>
      </w:r>
      <w:r>
        <w:rPr>
          <w:rFonts w:hint="default" w:ascii="仿宋_GB2312" w:eastAsia="仿宋_GB2312"/>
          <w:color w:val="auto"/>
          <w:sz w:val="32"/>
          <w:szCs w:val="32"/>
        </w:rPr>
        <w:t>建设运营</w:t>
      </w:r>
      <w:r>
        <w:rPr>
          <w:rFonts w:hint="eastAsia" w:ascii="仿宋_GB2312" w:eastAsia="仿宋_GB2312"/>
          <w:color w:val="auto"/>
          <w:sz w:val="32"/>
          <w:szCs w:val="32"/>
          <w:lang w:val="en-US" w:eastAsia="zh-CN"/>
        </w:rPr>
        <w:t>的省级</w:t>
      </w:r>
      <w:r>
        <w:rPr>
          <w:rFonts w:hint="eastAsia" w:ascii="仿宋_GB2312" w:eastAsia="仿宋_GB2312"/>
          <w:color w:val="auto"/>
          <w:sz w:val="32"/>
          <w:szCs w:val="32"/>
        </w:rPr>
        <w:t>海外综合服务平台</w:t>
      </w:r>
      <w:r>
        <w:rPr>
          <w:rFonts w:hint="eastAsia" w:ascii="仿宋_GB2312" w:eastAsia="仿宋_GB2312"/>
          <w:color w:val="auto"/>
          <w:sz w:val="32"/>
          <w:szCs w:val="32"/>
          <w:lang w:val="en-US" w:eastAsia="zh-CN"/>
        </w:rPr>
        <w:t>给予支持，对单个企业或组织年度给予400万元</w:t>
      </w:r>
      <w:r>
        <w:rPr>
          <w:rFonts w:hint="eastAsia" w:ascii="仿宋_GB2312" w:eastAsia="仿宋_GB2312"/>
          <w:color w:val="auto"/>
          <w:sz w:val="32"/>
          <w:szCs w:val="32"/>
          <w:lang w:eastAsia="zh-CN"/>
        </w:rPr>
        <w:t>人民币</w:t>
      </w:r>
      <w:r>
        <w:rPr>
          <w:rFonts w:hint="eastAsia" w:ascii="仿宋_GB2312" w:eastAsia="仿宋_GB2312"/>
          <w:color w:val="auto"/>
          <w:sz w:val="32"/>
          <w:szCs w:val="32"/>
          <w:lang w:val="en-US" w:eastAsia="zh-CN"/>
        </w:rPr>
        <w:t>的一次性奖励资金</w:t>
      </w:r>
      <w:r>
        <w:rPr>
          <w:rFonts w:hint="eastAsia" w:ascii="仿宋_GB2312" w:eastAsia="仿宋_GB2312"/>
          <w:color w:val="auto"/>
          <w:sz w:val="32"/>
          <w:szCs w:val="32"/>
          <w:lang w:eastAsia="zh-CN"/>
        </w:rPr>
        <w:t>。</w:t>
      </w:r>
    </w:p>
    <w:p>
      <w:pPr>
        <w:keepNext w:val="0"/>
        <w:keepLines w:val="0"/>
        <w:pageBreakBefore w:val="0"/>
        <w:tabs>
          <w:tab w:val="left" w:pos="5227"/>
        </w:tabs>
        <w:kinsoku/>
        <w:wordWrap/>
        <w:overflowPunct/>
        <w:topLinePunct w:val="0"/>
        <w:autoSpaceDE/>
        <w:autoSpaceDN/>
        <w:bidi w:val="0"/>
        <w:adjustRightInd w:val="0"/>
        <w:snapToGrid w:val="0"/>
        <w:spacing w:line="560" w:lineRule="exact"/>
        <w:ind w:firstLine="630" w:firstLineChars="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2.</w:t>
      </w:r>
      <w:r>
        <w:rPr>
          <w:rFonts w:hint="eastAsia" w:ascii="仿宋_GB2312" w:eastAsia="仿宋_GB2312"/>
          <w:color w:val="auto"/>
          <w:sz w:val="32"/>
          <w:szCs w:val="32"/>
        </w:rPr>
        <w:t>对</w:t>
      </w:r>
      <w:r>
        <w:rPr>
          <w:rFonts w:hint="eastAsia" w:ascii="仿宋_GB2312" w:eastAsia="仿宋_GB2312"/>
          <w:color w:val="auto"/>
          <w:sz w:val="32"/>
          <w:szCs w:val="32"/>
          <w:lang w:eastAsia="zh-CN"/>
        </w:rPr>
        <w:t>符合条件的</w:t>
      </w:r>
      <w:r>
        <w:rPr>
          <w:rFonts w:hint="default" w:ascii="仿宋_GB2312" w:eastAsia="仿宋_GB2312"/>
          <w:color w:val="auto"/>
          <w:sz w:val="32"/>
          <w:szCs w:val="32"/>
        </w:rPr>
        <w:t>申报主体</w:t>
      </w:r>
      <w:r>
        <w:rPr>
          <w:rFonts w:hint="eastAsia" w:ascii="仿宋_GB2312" w:eastAsia="仿宋_GB2312"/>
          <w:color w:val="auto"/>
          <w:sz w:val="32"/>
          <w:szCs w:val="32"/>
        </w:rPr>
        <w:t>在</w:t>
      </w:r>
      <w:r>
        <w:rPr>
          <w:rFonts w:hint="eastAsia" w:ascii="仿宋_GB2312" w:eastAsia="仿宋_GB2312"/>
          <w:color w:val="auto"/>
          <w:sz w:val="32"/>
          <w:szCs w:val="32"/>
          <w:lang w:eastAsia="zh-CN"/>
        </w:rPr>
        <w:t>2025年7月1日至2026年6月30日</w:t>
      </w:r>
      <w:r>
        <w:rPr>
          <w:rFonts w:hint="eastAsia" w:ascii="仿宋_GB2312" w:eastAsia="仿宋_GB2312"/>
          <w:color w:val="auto"/>
          <w:sz w:val="32"/>
          <w:szCs w:val="32"/>
        </w:rPr>
        <w:t>期间</w:t>
      </w:r>
      <w:r>
        <w:rPr>
          <w:rFonts w:hint="default" w:ascii="仿宋_GB2312" w:eastAsia="仿宋_GB2312"/>
          <w:color w:val="auto"/>
          <w:sz w:val="32"/>
          <w:szCs w:val="32"/>
        </w:rPr>
        <w:t>建设运营</w:t>
      </w:r>
      <w:r>
        <w:rPr>
          <w:rFonts w:hint="eastAsia" w:ascii="仿宋_GB2312" w:eastAsia="仿宋_GB2312"/>
          <w:color w:val="auto"/>
          <w:sz w:val="32"/>
          <w:szCs w:val="32"/>
          <w:lang w:eastAsia="zh-CN"/>
        </w:rPr>
        <w:t>的</w:t>
      </w:r>
      <w:r>
        <w:rPr>
          <w:rFonts w:hint="eastAsia" w:ascii="仿宋_GB2312" w:eastAsia="仿宋_GB2312"/>
          <w:color w:val="auto"/>
          <w:sz w:val="32"/>
          <w:szCs w:val="32"/>
          <w:lang w:val="en-US" w:eastAsia="zh-CN"/>
        </w:rPr>
        <w:t>省级海外联络站（境内站点或境外站点）给予支持，对单个企业或组织年度给予50万元人民币的一次性奖励资金。</w:t>
      </w:r>
    </w:p>
    <w:p>
      <w:pPr>
        <w:keepNext w:val="0"/>
        <w:keepLines w:val="0"/>
        <w:pageBreakBefore w:val="0"/>
        <w:kinsoku/>
        <w:wordWrap/>
        <w:overflowPunct/>
        <w:topLinePunct w:val="0"/>
        <w:autoSpaceDE/>
        <w:autoSpaceDN/>
        <w:bidi w:val="0"/>
        <w:adjustRightInd w:val="0"/>
        <w:snapToGrid w:val="0"/>
        <w:spacing w:line="560" w:lineRule="exact"/>
        <w:ind w:firstLine="645"/>
        <w:textAlignment w:val="auto"/>
        <w:rPr>
          <w:rFonts w:ascii="黑体" w:hAnsi="黑体" w:eastAsia="黑体"/>
          <w:color w:val="auto"/>
          <w:sz w:val="32"/>
          <w:szCs w:val="32"/>
        </w:rPr>
      </w:pPr>
      <w:r>
        <w:rPr>
          <w:rFonts w:hint="eastAsia" w:ascii="黑体" w:hAnsi="黑体" w:eastAsia="黑体"/>
          <w:color w:val="auto"/>
          <w:sz w:val="32"/>
          <w:szCs w:val="32"/>
        </w:rPr>
        <w:t>六、申报材料</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（一）基</w:t>
      </w:r>
      <w:r>
        <w:rPr>
          <w:rFonts w:hint="eastAsia" w:ascii="楷体_GB2312" w:hAnsi="楷体_GB2312" w:eastAsia="楷体_GB2312" w:cs="楷体_GB2312"/>
          <w:color w:val="auto"/>
          <w:sz w:val="32"/>
          <w:szCs w:val="32"/>
          <w:lang w:val="en-US" w:eastAsia="zh-CN"/>
        </w:rPr>
        <w:t>础</w:t>
      </w:r>
      <w:r>
        <w:rPr>
          <w:rFonts w:hint="eastAsia" w:ascii="楷体_GB2312" w:hAnsi="楷体_GB2312" w:eastAsia="楷体_GB2312" w:cs="楷体_GB2312"/>
          <w:color w:val="auto"/>
          <w:sz w:val="32"/>
          <w:szCs w:val="32"/>
        </w:rPr>
        <w:t>材料</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登录广东政务服务网在线填报申请书（http://www.gdzwfw.gov.cn/—深圳市—市商务局—搜索</w:t>
      </w:r>
      <w:r>
        <w:rPr>
          <w:rFonts w:hint="eastAsia" w:ascii="仿宋_GB2312" w:hAnsi="仿宋_GB2312" w:eastAsia="仿宋_GB2312" w:cs="仿宋_GB2312"/>
          <w:color w:val="auto"/>
          <w:sz w:val="32"/>
          <w:szCs w:val="32"/>
          <w:lang w:eastAsia="zh-CN"/>
        </w:rPr>
        <w:t>支持建设海外综合服务体系</w:t>
      </w:r>
      <w:r>
        <w:rPr>
          <w:rFonts w:hint="eastAsia" w:ascii="仿宋_GB2312" w:hAnsi="仿宋_GB2312" w:eastAsia="仿宋_GB2312" w:cs="仿宋_GB2312"/>
          <w:color w:val="auto"/>
          <w:sz w:val="32"/>
          <w:szCs w:val="32"/>
        </w:rPr>
        <w:t>事项），提供通过该系统打印的申请书纸质文件原件。</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（二）项目材料</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rPr>
        <w:t>①</w:t>
      </w:r>
      <w:r>
        <w:rPr>
          <w:rFonts w:hint="eastAsia" w:ascii="仿宋_GB2312" w:hAnsi="仿宋_GB2312" w:eastAsia="仿宋_GB2312" w:cs="仿宋_GB2312"/>
          <w:color w:val="auto"/>
          <w:sz w:val="32"/>
          <w:szCs w:val="32"/>
          <w:u w:val="none"/>
          <w:lang w:val="en-US" w:eastAsia="zh-CN"/>
        </w:rPr>
        <w:t>省级海外综合服务平台、省级海外联络站等运营主体的机构设立资料，包括但不限于工商登记文件/境外注册文件/隶属关系证明等；</w:t>
      </w:r>
      <w:r>
        <w:rPr>
          <w:rFonts w:hint="eastAsia" w:ascii="仿宋_GB2312" w:eastAsia="仿宋_GB2312"/>
          <w:color w:val="auto"/>
          <w:sz w:val="32"/>
          <w:szCs w:val="32"/>
          <w:lang w:val="en-US" w:eastAsia="zh-CN"/>
        </w:rPr>
        <w:t>其中，属于</w:t>
      </w:r>
      <w:r>
        <w:rPr>
          <w:rFonts w:hint="eastAsia" w:ascii="仿宋_GB2312" w:hAnsi="仿宋_GB2312" w:eastAsia="仿宋_GB2312" w:cs="仿宋_GB2312"/>
          <w:color w:val="auto"/>
          <w:sz w:val="32"/>
          <w:szCs w:val="32"/>
          <w:u w:val="none"/>
          <w:lang w:val="en-US" w:eastAsia="zh-CN"/>
        </w:rPr>
        <w:t>省级海外联络站</w:t>
      </w:r>
      <w:r>
        <w:rPr>
          <w:rFonts w:hint="eastAsia" w:ascii="仿宋_GB2312" w:eastAsia="仿宋_GB2312"/>
          <w:color w:val="auto"/>
          <w:sz w:val="32"/>
          <w:szCs w:val="32"/>
          <w:lang w:val="en-US" w:eastAsia="zh-CN"/>
        </w:rPr>
        <w:t>境外站点的，应由境内实际投资控股主体进行申报关系证明；</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rPr>
        <w:t>②</w:t>
      </w:r>
      <w:r>
        <w:rPr>
          <w:rFonts w:hint="eastAsia" w:ascii="仿宋_GB2312" w:hAnsi="仿宋_GB2312" w:eastAsia="仿宋_GB2312" w:cs="仿宋_GB2312"/>
          <w:color w:val="auto"/>
          <w:sz w:val="32"/>
          <w:szCs w:val="32"/>
          <w:u w:val="none"/>
          <w:lang w:val="en-US" w:eastAsia="zh-CN"/>
        </w:rPr>
        <w:t>获评“粤企出海综合服务港”、“</w:t>
      </w:r>
      <w:r>
        <w:rPr>
          <w:rFonts w:hint="eastAsia" w:ascii="仿宋_GB2312" w:eastAsia="仿宋_GB2312" w:cstheme="minorBidi"/>
          <w:color w:val="auto"/>
          <w:kern w:val="2"/>
          <w:sz w:val="32"/>
          <w:szCs w:val="32"/>
          <w:lang w:val="en-US" w:eastAsia="zh-CN" w:bidi="ar-SA"/>
        </w:rPr>
        <w:t>粤企出海服务联络站</w:t>
      </w:r>
      <w:r>
        <w:rPr>
          <w:rFonts w:hint="eastAsia" w:ascii="仿宋_GB2312" w:hAnsi="仿宋_GB2312" w:eastAsia="仿宋_GB2312" w:cs="仿宋_GB2312"/>
          <w:color w:val="auto"/>
          <w:sz w:val="32"/>
          <w:szCs w:val="32"/>
          <w:u w:val="none"/>
          <w:lang w:val="en-US" w:eastAsia="zh-CN"/>
        </w:rPr>
        <w:t>”条件的佐证材料，包括但不限于文件批复、新闻宣传等；</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rPr>
        <w:t>③</w:t>
      </w:r>
      <w:r>
        <w:rPr>
          <w:rFonts w:hint="eastAsia" w:ascii="仿宋_GB2312" w:hAnsi="仿宋_GB2312" w:eastAsia="仿宋_GB2312" w:cs="仿宋_GB2312"/>
          <w:color w:val="auto"/>
          <w:sz w:val="32"/>
          <w:szCs w:val="32"/>
          <w:u w:val="none"/>
          <w:lang w:val="en-US" w:eastAsia="zh-CN"/>
        </w:rPr>
        <w:t>省级海外综合服务平台、省级海外联络站建设运营期间，所服务的对外投资合作企业或园区情况简介，包括会员企业数量、组织经贸交流活动、</w:t>
      </w:r>
      <w:r>
        <w:rPr>
          <w:rFonts w:hint="eastAsia" w:ascii="仿宋_GB2312" w:hAnsi="仿宋_GB2312" w:eastAsia="仿宋_GB2312" w:cs="仿宋_GB2312"/>
          <w:color w:val="auto"/>
          <w:sz w:val="32"/>
          <w:szCs w:val="32"/>
          <w:u w:val="none"/>
        </w:rPr>
        <w:t>提供对外投资合作信息咨询、法律与合规支持、跨境融资、税务筹划、人力资源、物流与供应链、风险防控和权益保护</w:t>
      </w:r>
      <w:r>
        <w:rPr>
          <w:rFonts w:hint="eastAsia" w:ascii="仿宋_GB2312" w:hAnsi="仿宋_GB2312" w:eastAsia="仿宋_GB2312" w:cs="仿宋_GB2312"/>
          <w:color w:val="auto"/>
          <w:sz w:val="32"/>
          <w:szCs w:val="32"/>
          <w:u w:val="none"/>
          <w:lang w:eastAsia="zh-CN"/>
        </w:rPr>
        <w:t>、与境外合作园区合作</w:t>
      </w:r>
      <w:r>
        <w:rPr>
          <w:rFonts w:hint="eastAsia" w:ascii="仿宋_GB2312" w:hAnsi="仿宋_GB2312" w:eastAsia="仿宋_GB2312" w:cs="仿宋_GB2312"/>
          <w:color w:val="auto"/>
          <w:sz w:val="32"/>
          <w:szCs w:val="32"/>
          <w:u w:val="none"/>
        </w:rPr>
        <w:t>等涉外</w:t>
      </w:r>
      <w:r>
        <w:rPr>
          <w:rFonts w:hint="eastAsia" w:ascii="仿宋_GB2312" w:hAnsi="仿宋_GB2312" w:eastAsia="仿宋_GB2312" w:cs="仿宋_GB2312"/>
          <w:color w:val="auto"/>
          <w:sz w:val="32"/>
          <w:szCs w:val="32"/>
          <w:u w:val="none"/>
          <w:lang w:eastAsia="zh-CN"/>
        </w:rPr>
        <w:t>综合</w:t>
      </w:r>
      <w:r>
        <w:rPr>
          <w:rFonts w:hint="eastAsia" w:ascii="仿宋_GB2312" w:hAnsi="仿宋_GB2312" w:eastAsia="仿宋_GB2312" w:cs="仿宋_GB2312"/>
          <w:color w:val="auto"/>
          <w:sz w:val="32"/>
          <w:szCs w:val="32"/>
          <w:u w:val="none"/>
        </w:rPr>
        <w:t>服务</w:t>
      </w:r>
      <w:r>
        <w:rPr>
          <w:rFonts w:hint="eastAsia" w:ascii="仿宋_GB2312" w:hAnsi="仿宋_GB2312" w:eastAsia="仿宋_GB2312" w:cs="仿宋_GB2312"/>
          <w:color w:val="auto"/>
          <w:sz w:val="32"/>
          <w:szCs w:val="32"/>
          <w:u w:val="none"/>
          <w:lang w:eastAsia="zh-CN"/>
        </w:rPr>
        <w:t>情况</w:t>
      </w:r>
      <w:r>
        <w:rPr>
          <w:rFonts w:hint="eastAsia" w:ascii="仿宋_GB2312" w:hAnsi="仿宋_GB2312" w:eastAsia="仿宋_GB2312" w:cs="仿宋_GB2312"/>
          <w:color w:val="auto"/>
          <w:sz w:val="32"/>
          <w:szCs w:val="32"/>
          <w:u w:val="none"/>
          <w:lang w:val="en-US" w:eastAsia="zh-CN"/>
        </w:rPr>
        <w:t>；</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rPr>
        <w:t>④</w:t>
      </w:r>
      <w:r>
        <w:rPr>
          <w:rFonts w:hint="eastAsia" w:ascii="仿宋_GB2312" w:hAnsi="仿宋_GB2312" w:eastAsia="仿宋_GB2312" w:cs="仿宋_GB2312"/>
          <w:color w:val="auto"/>
          <w:sz w:val="32"/>
          <w:szCs w:val="32"/>
          <w:u w:val="none"/>
          <w:lang w:val="en-US" w:eastAsia="zh-CN"/>
        </w:rPr>
        <w:t>省级海外综合服务平台、省级海外联络站等运营主体的服务团队情况及专业资质情况；</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rPr>
        <w:t>⑤</w:t>
      </w:r>
      <w:r>
        <w:rPr>
          <w:rFonts w:hint="eastAsia" w:ascii="仿宋_GB2312" w:hAnsi="仿宋_GB2312" w:eastAsia="仿宋_GB2312" w:cs="仿宋_GB2312"/>
          <w:color w:val="auto"/>
          <w:sz w:val="32"/>
          <w:szCs w:val="32"/>
          <w:u w:val="none"/>
          <w:lang w:val="en-US" w:eastAsia="zh-CN"/>
        </w:rPr>
        <w:t>省级海外综合服务平台、省级海外联络站建设运营期间，</w:t>
      </w:r>
      <w:r>
        <w:rPr>
          <w:rFonts w:hint="eastAsia" w:ascii="仿宋_GB2312" w:hAnsi="仿宋_GB2312" w:eastAsia="仿宋_GB2312" w:cs="仿宋_GB2312"/>
          <w:color w:val="auto"/>
          <w:sz w:val="32"/>
          <w:szCs w:val="32"/>
          <w:u w:val="none"/>
        </w:rPr>
        <w:t>组织对外投资合作企业对接交流、政策宣讲、实地考察等活动</w:t>
      </w:r>
      <w:r>
        <w:rPr>
          <w:rFonts w:hint="eastAsia" w:ascii="仿宋_GB2312" w:hAnsi="仿宋_GB2312" w:eastAsia="仿宋_GB2312" w:cs="仿宋_GB2312"/>
          <w:color w:val="auto"/>
          <w:sz w:val="32"/>
          <w:szCs w:val="32"/>
          <w:u w:val="none"/>
          <w:lang w:eastAsia="zh-CN"/>
        </w:rPr>
        <w:t>情况</w:t>
      </w:r>
      <w:r>
        <w:rPr>
          <w:rFonts w:hint="eastAsia" w:ascii="仿宋_GB2312" w:hAnsi="仿宋_GB2312" w:eastAsia="仿宋_GB2312" w:cs="仿宋_GB2312"/>
          <w:color w:val="auto"/>
          <w:sz w:val="32"/>
          <w:szCs w:val="32"/>
          <w:u w:val="none"/>
          <w:lang w:val="en-US" w:eastAsia="zh-CN"/>
        </w:rPr>
        <w:t>，以及接待企业</w:t>
      </w:r>
      <w:r>
        <w:rPr>
          <w:rFonts w:hint="eastAsia" w:ascii="仿宋_GB2312" w:eastAsia="仿宋_GB2312" w:cstheme="minorBidi"/>
          <w:color w:val="auto"/>
          <w:kern w:val="2"/>
          <w:sz w:val="32"/>
          <w:szCs w:val="32"/>
          <w:lang w:val="en-US" w:eastAsia="zh-CN" w:bidi="ar-SA"/>
        </w:rPr>
        <w:t>咨询问题解答、现场</w:t>
      </w:r>
      <w:r>
        <w:rPr>
          <w:rFonts w:hint="eastAsia" w:ascii="仿宋_GB2312" w:hAnsi="仿宋_GB2312" w:eastAsia="仿宋_GB2312" w:cs="仿宋_GB2312"/>
          <w:color w:val="auto"/>
          <w:sz w:val="32"/>
          <w:szCs w:val="32"/>
          <w:u w:val="none"/>
          <w:lang w:val="en-US" w:eastAsia="zh-CN"/>
        </w:rPr>
        <w:t>对接服务等案例</w:t>
      </w:r>
      <w:r>
        <w:rPr>
          <w:rFonts w:hint="eastAsia" w:ascii="仿宋_GB2312" w:hAnsi="仿宋_GB2312" w:eastAsia="仿宋_GB2312" w:cs="仿宋_GB2312"/>
          <w:color w:val="auto"/>
          <w:sz w:val="32"/>
          <w:szCs w:val="32"/>
          <w:u w:val="none"/>
          <w:lang w:eastAsia="zh-CN"/>
        </w:rPr>
        <w:t>；</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⑥省级海外综合服务平台、省级海外联络站建设运营期间，获得主管部门和企业支持和肯定情况；</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⑦省级海外综合服务平台、省级海外联络站建设运营期间，线上平台注册用户、线上平台浏览量的平台活跃度等佐证材料，包括不限于全年平台活跃度后台数据等。</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_GB2312" w:cstheme="minorBidi"/>
          <w:color w:val="auto"/>
          <w:kern w:val="2"/>
          <w:sz w:val="32"/>
          <w:szCs w:val="32"/>
          <w:u w:val="none"/>
          <w:lang w:val="en-US" w:eastAsia="zh-CN" w:bidi="ar-SA"/>
        </w:rPr>
      </w:pPr>
      <w:r>
        <w:rPr>
          <w:rFonts w:hint="eastAsia" w:ascii="仿宋_GB2312" w:eastAsia="仿宋_GB2312" w:cstheme="minorBidi"/>
          <w:color w:val="auto"/>
          <w:kern w:val="2"/>
          <w:sz w:val="32"/>
          <w:szCs w:val="32"/>
          <w:u w:val="none"/>
          <w:lang w:val="en-US" w:eastAsia="zh-CN" w:bidi="ar-SA"/>
        </w:rPr>
        <w:t>⑧推动服务国内企业出海有关案例，包括但不限于线下制作宣传手册、线上在公众号、官网、微博等宣传渠道转发有关服务企业出海案例等。</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none"/>
        </w:rPr>
        <w:t>以上材料均需加盖申报单位公章，多页的还需加盖骑缝公章；涉及外文的，需提供中</w:t>
      </w:r>
      <w:r>
        <w:rPr>
          <w:rFonts w:hint="eastAsia" w:ascii="仿宋_GB2312" w:hAnsi="仿宋_GB2312" w:eastAsia="仿宋_GB2312" w:cs="仿宋_GB2312"/>
          <w:color w:val="auto"/>
          <w:sz w:val="32"/>
          <w:szCs w:val="32"/>
        </w:rPr>
        <w:t>文翻译件；一式两份，A4纸正反面打印/复印，非空白页（含封面）需连续编写页码，装订成册（胶装）。</w:t>
      </w:r>
    </w:p>
    <w:p>
      <w:pPr>
        <w:keepNext w:val="0"/>
        <w:keepLines w:val="0"/>
        <w:pageBreakBefore w:val="0"/>
        <w:kinsoku/>
        <w:wordWrap/>
        <w:overflowPunct/>
        <w:topLinePunct w:val="0"/>
        <w:autoSpaceDE/>
        <w:autoSpaceDN/>
        <w:bidi w:val="0"/>
        <w:adjustRightInd w:val="0"/>
        <w:snapToGrid w:val="0"/>
        <w:spacing w:line="560" w:lineRule="exact"/>
        <w:ind w:firstLine="420" w:firstLineChars="200"/>
        <w:contextualSpacing/>
        <w:textAlignment w:val="auto"/>
        <w:outlineLvl w:val="0"/>
        <w:rPr>
          <w:rFonts w:eastAsia="仿宋_GB2312"/>
          <w:color w:val="auto"/>
        </w:rPr>
      </w:pPr>
      <w:r>
        <w:rPr>
          <w:rFonts w:hint="eastAsia" w:eastAsia="仿宋_GB2312"/>
          <w:color w:val="auto"/>
        </w:rPr>
        <w:t xml:space="preserve">  </w:t>
      </w:r>
      <w:r>
        <w:rPr>
          <w:rFonts w:hint="eastAsia" w:ascii="仿宋_GB2312" w:eastAsia="仿宋_GB2312"/>
          <w:color w:val="auto"/>
          <w:sz w:val="32"/>
          <w:szCs w:val="32"/>
        </w:rPr>
        <w:t>申报单位提供的纸质材料和填报的电子材料应保持一致，如出现不同，应</w:t>
      </w:r>
      <w:r>
        <w:rPr>
          <w:rFonts w:ascii="仿宋_GB2312" w:eastAsia="仿宋_GB2312"/>
          <w:color w:val="auto"/>
          <w:sz w:val="32"/>
          <w:szCs w:val="32"/>
        </w:rPr>
        <w:t>按要求按时重新提交</w:t>
      </w:r>
      <w:r>
        <w:rPr>
          <w:rFonts w:hint="eastAsia" w:ascii="仿宋_GB2312" w:eastAsia="仿宋_GB2312"/>
          <w:color w:val="auto"/>
          <w:sz w:val="32"/>
          <w:szCs w:val="32"/>
        </w:rPr>
        <w:t>。</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rPr>
        <w:t>七、申请表格</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宋体" w:eastAsia="仿宋_GB2312" w:cs="宋体"/>
          <w:color w:val="auto"/>
          <w:kern w:val="0"/>
          <w:sz w:val="32"/>
          <w:szCs w:val="32"/>
        </w:rPr>
      </w:pPr>
      <w:r>
        <w:rPr>
          <w:rFonts w:hint="eastAsia" w:ascii="仿宋_GB2312" w:eastAsia="仿宋_GB2312"/>
          <w:color w:val="auto"/>
          <w:sz w:val="32"/>
          <w:szCs w:val="32"/>
        </w:rPr>
        <w:t>本指南第六条</w:t>
      </w:r>
      <w:r>
        <w:rPr>
          <w:rFonts w:hint="eastAsia" w:ascii="仿宋_GB2312" w:hAnsi="宋体" w:eastAsia="仿宋_GB2312" w:cs="宋体"/>
          <w:color w:val="auto"/>
          <w:kern w:val="0"/>
          <w:sz w:val="32"/>
          <w:szCs w:val="32"/>
        </w:rPr>
        <w:t>（</w:t>
      </w:r>
      <w:r>
        <w:rPr>
          <w:rFonts w:ascii="仿宋_GB2312" w:hAnsi="宋体" w:eastAsia="仿宋_GB2312" w:cs="宋体"/>
          <w:color w:val="auto"/>
          <w:kern w:val="0"/>
          <w:sz w:val="32"/>
          <w:szCs w:val="32"/>
        </w:rPr>
        <w:t>一</w:t>
      </w:r>
      <w:r>
        <w:rPr>
          <w:rFonts w:hint="eastAsia" w:ascii="仿宋_GB2312" w:hAnsi="宋体" w:eastAsia="仿宋_GB2312" w:cs="宋体"/>
          <w:color w:val="auto"/>
          <w:kern w:val="0"/>
          <w:sz w:val="32"/>
          <w:szCs w:val="32"/>
        </w:rPr>
        <w:t>）规定申请书。</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rPr>
        <w:t>八、受理信息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（一）受理机关：深圳市</w:t>
      </w:r>
      <w:r>
        <w:rPr>
          <w:rFonts w:hint="default" w:ascii="仿宋_GB2312" w:hAnsi="仿宋_GB2312" w:eastAsia="仿宋_GB2312" w:cs="仿宋_GB2312"/>
          <w:color w:val="auto"/>
          <w:sz w:val="32"/>
          <w:szCs w:val="32"/>
          <w:lang w:eastAsia="zh-CN"/>
        </w:rPr>
        <w:t>商务</w:t>
      </w:r>
      <w:r>
        <w:rPr>
          <w:rFonts w:hint="eastAsia" w:ascii="仿宋_GB2312" w:hAnsi="仿宋_GB2312" w:eastAsia="仿宋_GB2312" w:cs="仿宋_GB2312"/>
          <w:color w:val="auto"/>
          <w:sz w:val="32"/>
          <w:szCs w:val="32"/>
          <w:lang w:val="en-US" w:eastAsia="zh-CN"/>
        </w:rPr>
        <w:t>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（二）受理时间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1.网络填报时间：2026年9月2日—2026年9月15日。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2.材料提交时间：2026年9月2日—2026年9月22日。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申报单位在上述规定时间内在线填报、提交材料，逾期不予受理。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受理地点：深圳市福田区福中三路市民中心B区</w:t>
      </w:r>
      <w:r>
        <w:rPr>
          <w:rFonts w:hint="eastAsia" w:ascii="仿宋_GB2312" w:hAnsi="仿宋_GB2312" w:eastAsia="仿宋_GB2312" w:cs="仿宋_GB2312"/>
          <w:color w:val="auto"/>
          <w:sz w:val="32"/>
          <w:szCs w:val="32"/>
          <w:lang w:val="en-US" w:eastAsia="zh-CN"/>
        </w:rPr>
        <w:t>深圳</w:t>
      </w:r>
      <w:r>
        <w:rPr>
          <w:rFonts w:hint="eastAsia" w:ascii="仿宋_GB2312" w:hAnsi="仿宋_GB2312" w:eastAsia="仿宋_GB2312" w:cs="仿宋_GB2312"/>
          <w:color w:val="auto"/>
          <w:sz w:val="32"/>
          <w:szCs w:val="32"/>
        </w:rPr>
        <w:t>市行政服务</w:t>
      </w:r>
      <w:r>
        <w:rPr>
          <w:rFonts w:hint="eastAsia" w:ascii="仿宋_GB2312" w:hAnsi="仿宋_GB2312" w:eastAsia="仿宋_GB2312" w:cs="仿宋_GB2312"/>
          <w:color w:val="auto"/>
          <w:sz w:val="32"/>
          <w:szCs w:val="32"/>
          <w:lang w:val="en-US" w:eastAsia="zh-CN"/>
        </w:rPr>
        <w:t>中心</w:t>
      </w:r>
      <w:r>
        <w:rPr>
          <w:rFonts w:hint="eastAsia" w:ascii="仿宋_GB2312" w:hAnsi="仿宋_GB2312" w:eastAsia="仿宋_GB2312" w:cs="仿宋_GB2312"/>
          <w:color w:val="auto"/>
          <w:sz w:val="32"/>
          <w:szCs w:val="32"/>
        </w:rPr>
        <w:t>西厅综合</w:t>
      </w:r>
      <w:r>
        <w:rPr>
          <w:rFonts w:hint="eastAsia" w:ascii="仿宋_GB2312" w:hAnsi="仿宋_GB2312" w:eastAsia="仿宋_GB2312" w:cs="仿宋_GB2312"/>
          <w:color w:val="auto"/>
          <w:sz w:val="32"/>
          <w:szCs w:val="32"/>
          <w:highlight w:val="none"/>
        </w:rPr>
        <w:t>窗口。</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color w:val="auto"/>
        </w:rPr>
      </w:pPr>
      <w:r>
        <w:rPr>
          <w:rFonts w:hint="eastAsia" w:ascii="仿宋_GB2312" w:hAnsi="仿宋_GB2312" w:eastAsia="仿宋_GB2312" w:cs="仿宋_GB2312"/>
          <w:color w:val="auto"/>
          <w:sz w:val="32"/>
          <w:szCs w:val="32"/>
        </w:rPr>
        <w:t>（预约指南：“i深圳”APP或关注“深圳行政服务大厅”微信公众号。操作流程：【办事预约】或【预约取号】—【深圳市行政服务大厅西厅】）。</w:t>
      </w:r>
    </w:p>
    <w:p>
      <w:pPr>
        <w:keepNext w:val="0"/>
        <w:keepLines w:val="0"/>
        <w:pageBreakBefore w:val="0"/>
        <w:kinsoku/>
        <w:wordWrap/>
        <w:overflowPunct/>
        <w:topLinePunct w:val="0"/>
        <w:autoSpaceDE/>
        <w:autoSpaceDN/>
        <w:bidi w:val="0"/>
        <w:adjustRightInd w:val="0"/>
        <w:snapToGrid w:val="0"/>
        <w:spacing w:line="560" w:lineRule="exact"/>
        <w:ind w:left="645"/>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highlight w:val="none"/>
        </w:rPr>
        <w:t>咨询电话：</w:t>
      </w:r>
    </w:p>
    <w:p>
      <w:pPr>
        <w:keepNext w:val="0"/>
        <w:keepLines w:val="0"/>
        <w:pageBreakBefore w:val="0"/>
        <w:kinsoku/>
        <w:wordWrap/>
        <w:overflowPunct/>
        <w:topLinePunct w:val="0"/>
        <w:autoSpaceDE/>
        <w:autoSpaceDN/>
        <w:bidi w:val="0"/>
        <w:adjustRightInd w:val="0"/>
        <w:snapToGrid w:val="0"/>
        <w:spacing w:line="560" w:lineRule="exact"/>
        <w:ind w:left="645"/>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项目申报咨询电话：0755-</w:t>
      </w:r>
      <w:r>
        <w:rPr>
          <w:rFonts w:hint="eastAsia" w:ascii="仿宋_GB2312" w:hAnsi="仿宋_GB2312" w:eastAsia="仿宋_GB2312" w:cs="仿宋_GB2312"/>
          <w:bCs/>
          <w:color w:val="auto"/>
          <w:sz w:val="32"/>
          <w:szCs w:val="32"/>
        </w:rPr>
        <w:t>8810</w:t>
      </w:r>
      <w:r>
        <w:rPr>
          <w:rFonts w:hint="default" w:ascii="仿宋_GB2312" w:hAnsi="仿宋_GB2312" w:eastAsia="仿宋_GB2312" w:cs="仿宋_GB2312"/>
          <w:bCs/>
          <w:color w:val="auto"/>
          <w:sz w:val="32"/>
          <w:szCs w:val="32"/>
        </w:rPr>
        <w:t>2481</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88102421</w:t>
      </w:r>
      <w:r>
        <w:rPr>
          <w:rFonts w:hint="eastAsia" w:ascii="仿宋_GB2312" w:hAnsi="仿宋_GB2312" w:eastAsia="仿宋_GB2312" w:cs="仿宋_GB2312"/>
          <w:bCs/>
          <w:color w:val="auto"/>
          <w:sz w:val="32"/>
          <w:szCs w:val="32"/>
        </w:rPr>
        <w:t>。</w:t>
      </w:r>
    </w:p>
    <w:p>
      <w:pPr>
        <w:keepNext w:val="0"/>
        <w:keepLines w:val="0"/>
        <w:pageBreakBefore w:val="0"/>
        <w:kinsoku/>
        <w:wordWrap/>
        <w:overflowPunct/>
        <w:topLinePunct w:val="0"/>
        <w:autoSpaceDE/>
        <w:autoSpaceDN/>
        <w:bidi w:val="0"/>
        <w:adjustRightInd w:val="0"/>
        <w:snapToGrid w:val="0"/>
        <w:spacing w:line="560" w:lineRule="exact"/>
        <w:ind w:left="645"/>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系统技术服务电话：0755-</w:t>
      </w:r>
      <w:r>
        <w:rPr>
          <w:rFonts w:ascii="仿宋_GB2312" w:hAnsi="仿宋_GB2312" w:eastAsia="仿宋_GB2312" w:cs="仿宋_GB2312"/>
          <w:color w:val="auto"/>
          <w:sz w:val="32"/>
          <w:szCs w:val="32"/>
        </w:rPr>
        <w:t>88102445</w:t>
      </w:r>
      <w:r>
        <w:rPr>
          <w:rFonts w:hint="eastAsia" w:ascii="仿宋_GB2312" w:hAnsi="仿宋_GB2312" w:eastAsia="仿宋_GB2312" w:cs="仿宋_GB2312"/>
          <w:color w:val="auto"/>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color w:val="auto"/>
          <w:sz w:val="32"/>
          <w:szCs w:val="32"/>
          <w:lang w:val="en-US" w:eastAsia="zh-CN"/>
        </w:rPr>
      </w:pPr>
      <w:r>
        <w:rPr>
          <w:rFonts w:hint="eastAsia" w:ascii="仿宋_GB2312" w:hAnsi="仿宋_GB2312" w:eastAsia="仿宋_GB2312" w:cs="仿宋_GB2312"/>
          <w:color w:val="auto"/>
          <w:sz w:val="32"/>
          <w:szCs w:val="32"/>
          <w:highlight w:val="none"/>
          <w:lang w:val="en-US" w:eastAsia="zh-CN"/>
        </w:rPr>
        <w:t>申报单位在上述规定时间内在线填报、提交材料，逾期不予受理。</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rPr>
        <w:t>九、申请决定机关</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深圳市商务局</w:t>
      </w:r>
    </w:p>
    <w:p>
      <w:pPr>
        <w:keepNext w:val="0"/>
        <w:keepLines w:val="0"/>
        <w:pageBreakBefore w:val="0"/>
        <w:tabs>
          <w:tab w:val="center" w:pos="4153"/>
        </w:tabs>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rPr>
        <w:t>十、办理流程</w:t>
      </w:r>
      <w:r>
        <w:rPr>
          <w:rFonts w:hint="eastAsia" w:ascii="黑体" w:hAnsi="黑体" w:eastAsia="黑体"/>
          <w:color w:val="auto"/>
          <w:sz w:val="32"/>
          <w:szCs w:val="32"/>
        </w:rPr>
        <w:tab/>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0"/>
        <w:rPr>
          <w:rFonts w:hint="eastAsia" w:ascii="仿宋_GB2312" w:hAnsi="仿宋_GB2312" w:eastAsia="仿宋_GB2312"/>
          <w:color w:val="auto"/>
          <w:sz w:val="32"/>
          <w:szCs w:val="32"/>
          <w:lang w:bidi="ar"/>
        </w:rPr>
      </w:pPr>
      <w:r>
        <w:rPr>
          <w:rFonts w:hint="eastAsia" w:ascii="仿宋_GB2312" w:hAnsi="仿宋_GB2312" w:eastAsia="仿宋_GB2312"/>
          <w:color w:val="auto"/>
          <w:sz w:val="32"/>
          <w:szCs w:val="32"/>
          <w:lang w:bidi="ar"/>
        </w:rPr>
        <w:t>发布申请指南——</w:t>
      </w:r>
      <w:r>
        <w:rPr>
          <w:rFonts w:hint="eastAsia" w:ascii="仿宋_GB2312" w:hAnsi="仿宋_GB2312" w:eastAsia="仿宋_GB2312"/>
          <w:color w:val="auto"/>
          <w:sz w:val="32"/>
          <w:szCs w:val="32"/>
          <w:lang w:val="en-US" w:eastAsia="zh-CN" w:bidi="ar"/>
        </w:rPr>
        <w:t>申报单位</w:t>
      </w:r>
      <w:r>
        <w:rPr>
          <w:rFonts w:hint="eastAsia" w:ascii="仿宋_GB2312" w:hAnsi="仿宋_GB2312" w:eastAsia="仿宋_GB2312"/>
          <w:color w:val="auto"/>
          <w:sz w:val="32"/>
          <w:szCs w:val="32"/>
          <w:lang w:bidi="ar"/>
        </w:rPr>
        <w:t>网上申报——网络初审——申报单位向市行政服务大厅收文窗口提交纸质申报材料——形式审查——资质审查（包括有无重大违法违规行为，有无被国家、省、市有关部门列入严重失信主体名单实施失信惩戒，有无以同一事项从其他渠道获得财政资金支持等情况）——专项审计——核定拟奖励计划——社会公示——下达奖励计划——申请单位提交拨付资料——拨付资金。</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rPr>
        <w:t>十一、办理时限</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集中申报，成批处理。</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rPr>
        <w:t>十二、证件及有效期</w:t>
      </w:r>
    </w:p>
    <w:p>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textAlignment w:val="auto"/>
        <w:outlineLvl w:val="0"/>
        <w:rPr>
          <w:rFonts w:ascii="仿宋_GB2312" w:eastAsia="仿宋_GB2312"/>
          <w:color w:val="auto"/>
          <w:sz w:val="32"/>
          <w:szCs w:val="32"/>
        </w:rPr>
      </w:pPr>
      <w:r>
        <w:rPr>
          <w:rFonts w:hint="eastAsia" w:ascii="仿宋_GB2312" w:eastAsia="仿宋_GB2312"/>
          <w:color w:val="auto"/>
          <w:sz w:val="32"/>
          <w:szCs w:val="32"/>
        </w:rPr>
        <w:t>证件：无</w:t>
      </w:r>
    </w:p>
    <w:p>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textAlignment w:val="auto"/>
        <w:outlineLvl w:val="0"/>
        <w:rPr>
          <w:rFonts w:ascii="仿宋_GB2312" w:eastAsia="仿宋_GB2312"/>
          <w:color w:val="auto"/>
          <w:sz w:val="32"/>
          <w:szCs w:val="32"/>
        </w:rPr>
      </w:pPr>
      <w:r>
        <w:rPr>
          <w:rFonts w:hint="eastAsia" w:ascii="仿宋_GB2312" w:eastAsia="仿宋_GB2312"/>
          <w:color w:val="auto"/>
          <w:sz w:val="32"/>
          <w:szCs w:val="32"/>
        </w:rPr>
        <w:t>有效期限：无</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rPr>
        <w:t>十三、证件的法律效力</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无</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rPr>
        <w:t>十四、收费</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无</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rPr>
        <w:t>十五、年审或年检</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无</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rPr>
        <w:t>十六、监督检查和补充说明</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rPr>
        <w:t>（一）市商务局从未委托任何单位和个人为申报单位代理专项资金扶持计划项目申报事宜，申报单位应自主申报。我局严格按照有关规定和程序受理申请，不收取任何费用。如有任何中介机构和个人假借我局或工作人员名义向申报单位收取费用的，请向我局举报</w:t>
      </w:r>
      <w:r>
        <w:rPr>
          <w:rFonts w:hint="eastAsia" w:ascii="仿宋_GB2312" w:eastAsia="仿宋_GB2312"/>
          <w:color w:val="auto"/>
          <w:sz w:val="32"/>
          <w:szCs w:val="32"/>
          <w:lang w:eastAsia="zh-CN"/>
        </w:rPr>
        <w:t>（举报电话</w:t>
      </w:r>
      <w:r>
        <w:rPr>
          <w:rFonts w:hint="eastAsia" w:ascii="仿宋_GB2312" w:eastAsia="仿宋_GB2312"/>
          <w:color w:val="auto"/>
          <w:sz w:val="32"/>
          <w:szCs w:val="32"/>
          <w:lang w:val="en-US" w:eastAsia="zh-CN"/>
        </w:rPr>
        <w:t>88107090</w:t>
      </w:r>
      <w:r>
        <w:rPr>
          <w:rFonts w:hint="eastAsia" w:ascii="仿宋_GB2312" w:eastAsia="仿宋_GB2312"/>
          <w:color w:val="auto"/>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textAlignment w:val="auto"/>
        <w:outlineLvl w:val="0"/>
        <w:rPr>
          <w:rFonts w:ascii="仿宋_GB2312" w:eastAsia="仿宋_GB2312"/>
          <w:color w:val="auto"/>
          <w:sz w:val="32"/>
          <w:szCs w:val="32"/>
        </w:rPr>
      </w:pPr>
      <w:r>
        <w:rPr>
          <w:rFonts w:hint="eastAsia" w:ascii="仿宋_GB2312" w:eastAsia="仿宋_GB2312"/>
          <w:color w:val="auto"/>
          <w:sz w:val="32"/>
          <w:szCs w:val="32"/>
        </w:rPr>
        <w:t>（二）获得资金支持的申报单位，应当按照国家有关财务制度规定进行管理和使用，按照国家统一的会计制度进行会计核算，并自觉接受财政、商务、审计等部门的监督检查。配合商务部门开展业务、资金统计监测，妥善保管项目申报材料。</w:t>
      </w:r>
    </w:p>
    <w:p>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textAlignment w:val="auto"/>
        <w:outlineLvl w:val="0"/>
        <w:rPr>
          <w:rFonts w:ascii="仿宋_GB2312" w:eastAsia="仿宋_GB2312"/>
          <w:color w:val="auto"/>
          <w:sz w:val="32"/>
          <w:szCs w:val="32"/>
        </w:rPr>
      </w:pPr>
      <w:r>
        <w:rPr>
          <w:rFonts w:hint="eastAsia" w:ascii="仿宋_GB2312" w:eastAsia="仿宋_GB2312"/>
          <w:color w:val="auto"/>
          <w:sz w:val="32"/>
          <w:szCs w:val="32"/>
        </w:rPr>
        <w:t>（三）申报单位在资金申报、使用等过程中，存在利用不正当手段骗取、截留、挤占、挪用资金等违法违规行为的，按照失信联合惩戒有关规定予以处理，并按照有关法律、法规、规章的规定追究相应责任；涉嫌犯罪的，依法移送司法机关处理；造成资金损失的，由商务部门收回资金。</w:t>
      </w:r>
    </w:p>
    <w:p>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textAlignment w:val="auto"/>
        <w:outlineLvl w:val="0"/>
        <w:rPr>
          <w:rFonts w:ascii="仿宋_GB2312" w:eastAsia="仿宋_GB2312"/>
          <w:color w:val="auto"/>
          <w:sz w:val="32"/>
          <w:szCs w:val="32"/>
        </w:rPr>
      </w:pPr>
      <w:r>
        <w:rPr>
          <w:rFonts w:hint="eastAsia" w:ascii="仿宋_GB2312" w:eastAsia="仿宋_GB2312"/>
          <w:color w:val="auto"/>
          <w:sz w:val="32"/>
          <w:szCs w:val="32"/>
        </w:rPr>
        <w:t>（</w:t>
      </w:r>
      <w:r>
        <w:rPr>
          <w:rFonts w:ascii="仿宋_GB2312" w:eastAsia="仿宋_GB2312"/>
          <w:color w:val="auto"/>
          <w:sz w:val="32"/>
          <w:szCs w:val="32"/>
        </w:rPr>
        <w:t>四</w:t>
      </w:r>
      <w:r>
        <w:rPr>
          <w:rFonts w:hint="eastAsia" w:ascii="仿宋_GB2312" w:eastAsia="仿宋_GB2312"/>
          <w:color w:val="auto"/>
          <w:sz w:val="32"/>
          <w:szCs w:val="32"/>
        </w:rPr>
        <w:t>）申报单位在项目申报期间发生企业名称、联系信息变更的，应及时联系并提供变更材料，如因未及时变更产生的后果由企业自行承担。</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eastAsia="仿宋_GB2312"/>
          <w:color w:val="auto"/>
          <w:sz w:val="32"/>
          <w:szCs w:val="32"/>
        </w:rPr>
      </w:pPr>
      <w:r>
        <w:rPr>
          <w:rFonts w:hint="eastAsia" w:ascii="仿宋_GB2312" w:hAnsi="宋体" w:eastAsia="仿宋_GB2312" w:cs="宋体"/>
          <w:color w:val="auto"/>
          <w:kern w:val="0"/>
          <w:sz w:val="32"/>
          <w:szCs w:val="32"/>
        </w:rPr>
        <w:t>（五）</w:t>
      </w:r>
      <w:r>
        <w:rPr>
          <w:rFonts w:hint="default" w:ascii="仿宋_GB2312" w:hAnsi="宋体" w:eastAsia="仿宋_GB2312" w:cs="宋体"/>
          <w:color w:val="auto"/>
          <w:kern w:val="0"/>
          <w:sz w:val="32"/>
          <w:szCs w:val="32"/>
        </w:rPr>
        <w:t>支持</w:t>
      </w:r>
      <w:r>
        <w:rPr>
          <w:rFonts w:hint="eastAsia" w:ascii="仿宋_GB2312" w:hAnsi="宋体" w:eastAsia="仿宋_GB2312" w:cs="宋体"/>
          <w:color w:val="auto"/>
          <w:kern w:val="0"/>
          <w:sz w:val="32"/>
          <w:szCs w:val="32"/>
        </w:rPr>
        <w:t>拨款按照申请书银行账户信息办理。因账户信息更改或企业填写错误等原因导致拨付不成功的，原则上予以办理一次拨款信息更改并再次拨付。申报单位</w:t>
      </w:r>
      <w:r>
        <w:rPr>
          <w:rFonts w:hint="eastAsia" w:ascii="仿宋_GB2312" w:hAnsi="宋体" w:eastAsia="仿宋_GB2312"/>
          <w:color w:val="auto"/>
          <w:sz w:val="32"/>
          <w:szCs w:val="32"/>
        </w:rPr>
        <w:t>应按照要求办理资金拨付手续。</w:t>
      </w:r>
    </w:p>
    <w:sectPr>
      <w:footerReference r:id="rId3" w:type="default"/>
      <w:pgSz w:w="11906" w:h="16838"/>
      <w:pgMar w:top="1814" w:right="1474" w:bottom="181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altName w:val="微软雅黑"/>
    <w:panose1 w:val="02000000000000000000"/>
    <w:charset w:val="86"/>
    <w:family w:val="script"/>
    <w:pitch w:val="default"/>
    <w:sig w:usb0="00000000" w:usb1="00000000" w:usb2="00000000" w:usb3="00000000" w:csb0="00000000" w:csb1="00000000"/>
  </w:font>
  <w:font w:name="方正黑体_GBK">
    <w:altName w:val="微软雅黑"/>
    <w:panose1 w:val="02000000000000000000"/>
    <w:charset w:val="86"/>
    <w:family w:val="auto"/>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仿宋_GB2312" w:hAnsi="仿宋_GB2312" w:eastAsia="仿宋_GB2312" w:cs="仿宋_GB2312"/>
        <w:sz w:val="32"/>
        <w:szCs w:val="32"/>
      </w:rPr>
    </w:pPr>
    <w:r>
      <w:rPr>
        <w:sz w:val="3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ind w:left="210" w:leftChars="100" w:right="210" w:rightChars="100"/>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5"/>
                      <w:ind w:left="210" w:leftChars="100" w:right="210" w:rightChars="100"/>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BkYWU1YTk1MjNjZGQ4NDY1MmNhNTBiYjcxMTA1ODUifQ=="/>
  </w:docVars>
  <w:rsids>
    <w:rsidRoot w:val="00AC43BA"/>
    <w:rsid w:val="000A4153"/>
    <w:rsid w:val="000E1AC2"/>
    <w:rsid w:val="00122527"/>
    <w:rsid w:val="00156769"/>
    <w:rsid w:val="001707B2"/>
    <w:rsid w:val="001D7F2D"/>
    <w:rsid w:val="00315DD3"/>
    <w:rsid w:val="003541A5"/>
    <w:rsid w:val="003D79C8"/>
    <w:rsid w:val="00423466"/>
    <w:rsid w:val="00504C90"/>
    <w:rsid w:val="00511E89"/>
    <w:rsid w:val="00564FBD"/>
    <w:rsid w:val="00574AF3"/>
    <w:rsid w:val="00591465"/>
    <w:rsid w:val="00695B74"/>
    <w:rsid w:val="006B0DFF"/>
    <w:rsid w:val="006D53A3"/>
    <w:rsid w:val="0076256E"/>
    <w:rsid w:val="00792F99"/>
    <w:rsid w:val="008A41D9"/>
    <w:rsid w:val="008D2631"/>
    <w:rsid w:val="009777B5"/>
    <w:rsid w:val="00AB2DF3"/>
    <w:rsid w:val="00AC43BA"/>
    <w:rsid w:val="00C568D3"/>
    <w:rsid w:val="00C6774D"/>
    <w:rsid w:val="00CF0B21"/>
    <w:rsid w:val="00CF6262"/>
    <w:rsid w:val="00D23383"/>
    <w:rsid w:val="00D43D15"/>
    <w:rsid w:val="00DB49EE"/>
    <w:rsid w:val="00EE10EA"/>
    <w:rsid w:val="00EE4AC6"/>
    <w:rsid w:val="00FB07DE"/>
    <w:rsid w:val="01593A2F"/>
    <w:rsid w:val="020B4C26"/>
    <w:rsid w:val="032419EF"/>
    <w:rsid w:val="066703DC"/>
    <w:rsid w:val="0CB31AF0"/>
    <w:rsid w:val="0FE15D1C"/>
    <w:rsid w:val="130D5CAA"/>
    <w:rsid w:val="13707E77"/>
    <w:rsid w:val="1417343F"/>
    <w:rsid w:val="14F7A2B0"/>
    <w:rsid w:val="17496A4C"/>
    <w:rsid w:val="17AFC59A"/>
    <w:rsid w:val="187D2069"/>
    <w:rsid w:val="1AE30006"/>
    <w:rsid w:val="1C547610"/>
    <w:rsid w:val="1D2F23BD"/>
    <w:rsid w:val="1FF79A80"/>
    <w:rsid w:val="1FFF0AFE"/>
    <w:rsid w:val="2028784D"/>
    <w:rsid w:val="203B5C97"/>
    <w:rsid w:val="22AA4F68"/>
    <w:rsid w:val="24E6044D"/>
    <w:rsid w:val="25CC70A5"/>
    <w:rsid w:val="2658551B"/>
    <w:rsid w:val="27EE6CD9"/>
    <w:rsid w:val="28FB65E3"/>
    <w:rsid w:val="29236148"/>
    <w:rsid w:val="29F60060"/>
    <w:rsid w:val="2B9044E1"/>
    <w:rsid w:val="2BD609A2"/>
    <w:rsid w:val="2CED3247"/>
    <w:rsid w:val="2F077C5B"/>
    <w:rsid w:val="3001126A"/>
    <w:rsid w:val="31FEFE2C"/>
    <w:rsid w:val="33FD570F"/>
    <w:rsid w:val="357B3E57"/>
    <w:rsid w:val="370B567D"/>
    <w:rsid w:val="37CF6705"/>
    <w:rsid w:val="37FFF8B9"/>
    <w:rsid w:val="38FFD0CD"/>
    <w:rsid w:val="39B6399E"/>
    <w:rsid w:val="3A830F6C"/>
    <w:rsid w:val="3BFF4045"/>
    <w:rsid w:val="3E293ECA"/>
    <w:rsid w:val="3F0FCF6D"/>
    <w:rsid w:val="40324F91"/>
    <w:rsid w:val="44AD3575"/>
    <w:rsid w:val="487B1ECF"/>
    <w:rsid w:val="48800C4E"/>
    <w:rsid w:val="49D47F76"/>
    <w:rsid w:val="4E3F4083"/>
    <w:rsid w:val="4F604300"/>
    <w:rsid w:val="4FDF27B7"/>
    <w:rsid w:val="5246447D"/>
    <w:rsid w:val="5425781E"/>
    <w:rsid w:val="54B708C9"/>
    <w:rsid w:val="56525023"/>
    <w:rsid w:val="56EF3235"/>
    <w:rsid w:val="577C1811"/>
    <w:rsid w:val="57AA58DC"/>
    <w:rsid w:val="57DD3D36"/>
    <w:rsid w:val="58615FC7"/>
    <w:rsid w:val="587F212C"/>
    <w:rsid w:val="5A1E6BC6"/>
    <w:rsid w:val="5A6F6078"/>
    <w:rsid w:val="5DBC56FB"/>
    <w:rsid w:val="5DD80370"/>
    <w:rsid w:val="5EC45CEC"/>
    <w:rsid w:val="5F1F5D56"/>
    <w:rsid w:val="5F5F0B66"/>
    <w:rsid w:val="5F7F3DBE"/>
    <w:rsid w:val="5FBC8A2D"/>
    <w:rsid w:val="5FFF0B0B"/>
    <w:rsid w:val="5FFF4D91"/>
    <w:rsid w:val="62423029"/>
    <w:rsid w:val="62AE0F08"/>
    <w:rsid w:val="650A437B"/>
    <w:rsid w:val="66BE137F"/>
    <w:rsid w:val="69E50FEC"/>
    <w:rsid w:val="6B7258F8"/>
    <w:rsid w:val="6B9B39C6"/>
    <w:rsid w:val="6BB530A4"/>
    <w:rsid w:val="6BCE504B"/>
    <w:rsid w:val="6BDD10C1"/>
    <w:rsid w:val="6BFCB8AE"/>
    <w:rsid w:val="6C7F9E2D"/>
    <w:rsid w:val="6C992383"/>
    <w:rsid w:val="6D7E0E05"/>
    <w:rsid w:val="6DFF5A3B"/>
    <w:rsid w:val="6F2A0D2B"/>
    <w:rsid w:val="6F7E00EF"/>
    <w:rsid w:val="6FB63E20"/>
    <w:rsid w:val="6FBFC2AA"/>
    <w:rsid w:val="6FEF341A"/>
    <w:rsid w:val="70267C90"/>
    <w:rsid w:val="71D7A042"/>
    <w:rsid w:val="723572B2"/>
    <w:rsid w:val="733BF76F"/>
    <w:rsid w:val="734A8790"/>
    <w:rsid w:val="73622AEF"/>
    <w:rsid w:val="73FF6B09"/>
    <w:rsid w:val="742D6A9A"/>
    <w:rsid w:val="745B5E75"/>
    <w:rsid w:val="7491168D"/>
    <w:rsid w:val="77BD1F73"/>
    <w:rsid w:val="77BF4C73"/>
    <w:rsid w:val="77C53518"/>
    <w:rsid w:val="79FC71A2"/>
    <w:rsid w:val="7A27030F"/>
    <w:rsid w:val="7CD7217F"/>
    <w:rsid w:val="7D2C26CE"/>
    <w:rsid w:val="7D5F9FC0"/>
    <w:rsid w:val="7D64692A"/>
    <w:rsid w:val="7DEBE768"/>
    <w:rsid w:val="7DFF17DB"/>
    <w:rsid w:val="7DFF824F"/>
    <w:rsid w:val="7E4576C1"/>
    <w:rsid w:val="7E6FA923"/>
    <w:rsid w:val="7E9FE8D9"/>
    <w:rsid w:val="7EE42032"/>
    <w:rsid w:val="7F4A346E"/>
    <w:rsid w:val="7F4F8522"/>
    <w:rsid w:val="7F7F04CB"/>
    <w:rsid w:val="7FDA06D7"/>
    <w:rsid w:val="7FDE1FC8"/>
    <w:rsid w:val="7FEDD64C"/>
    <w:rsid w:val="7FEF5804"/>
    <w:rsid w:val="7FEFFB34"/>
    <w:rsid w:val="7FF1A71A"/>
    <w:rsid w:val="7FF3FC9B"/>
    <w:rsid w:val="7FF7DB0E"/>
    <w:rsid w:val="7FFCB4EC"/>
    <w:rsid w:val="7FFF2205"/>
    <w:rsid w:val="8FB4C981"/>
    <w:rsid w:val="96977B26"/>
    <w:rsid w:val="97B7377F"/>
    <w:rsid w:val="9FBD3AB3"/>
    <w:rsid w:val="9FECBA21"/>
    <w:rsid w:val="A5AFEB10"/>
    <w:rsid w:val="A60CEBB8"/>
    <w:rsid w:val="A7BD66FF"/>
    <w:rsid w:val="B1FBA825"/>
    <w:rsid w:val="B925FAC1"/>
    <w:rsid w:val="BA162266"/>
    <w:rsid w:val="BBEEA0A8"/>
    <w:rsid w:val="BBEF2197"/>
    <w:rsid w:val="BDBF05A4"/>
    <w:rsid w:val="BE37F75F"/>
    <w:rsid w:val="BEF11AE0"/>
    <w:rsid w:val="BF7B0AE4"/>
    <w:rsid w:val="BFDEB50E"/>
    <w:rsid w:val="BFFF2752"/>
    <w:rsid w:val="BFFF4555"/>
    <w:rsid w:val="C66F4B32"/>
    <w:rsid w:val="C7F6C103"/>
    <w:rsid w:val="CCFF8CCC"/>
    <w:rsid w:val="CEBF1A82"/>
    <w:rsid w:val="CF5B01B3"/>
    <w:rsid w:val="CFDD5583"/>
    <w:rsid w:val="D5FBC0B3"/>
    <w:rsid w:val="D6E742FF"/>
    <w:rsid w:val="D93E0D19"/>
    <w:rsid w:val="D9FB2D81"/>
    <w:rsid w:val="DDD44D0F"/>
    <w:rsid w:val="DEF99DDC"/>
    <w:rsid w:val="DFDEFE82"/>
    <w:rsid w:val="DFF1AF3D"/>
    <w:rsid w:val="DFFBB0A9"/>
    <w:rsid w:val="DFFEED29"/>
    <w:rsid w:val="DFFFD7D0"/>
    <w:rsid w:val="E32D8472"/>
    <w:rsid w:val="E3830B89"/>
    <w:rsid w:val="E7EFACC9"/>
    <w:rsid w:val="E7FB508D"/>
    <w:rsid w:val="EABAC29A"/>
    <w:rsid w:val="EBFF044C"/>
    <w:rsid w:val="ECDFA842"/>
    <w:rsid w:val="ECFFFC5B"/>
    <w:rsid w:val="EEFDEC0F"/>
    <w:rsid w:val="EF776047"/>
    <w:rsid w:val="EFBDAE03"/>
    <w:rsid w:val="EFFA4893"/>
    <w:rsid w:val="F2FF0A7B"/>
    <w:rsid w:val="F76FAD5F"/>
    <w:rsid w:val="F77E57C5"/>
    <w:rsid w:val="F77FBEC7"/>
    <w:rsid w:val="F7D76515"/>
    <w:rsid w:val="F97D5EF3"/>
    <w:rsid w:val="F9EF48EB"/>
    <w:rsid w:val="FA5F373E"/>
    <w:rsid w:val="FAFE07C1"/>
    <w:rsid w:val="FB3FE822"/>
    <w:rsid w:val="FBDF041E"/>
    <w:rsid w:val="FBEF373E"/>
    <w:rsid w:val="FBF53893"/>
    <w:rsid w:val="FBF96D07"/>
    <w:rsid w:val="FBFB0013"/>
    <w:rsid w:val="FBFE8CC9"/>
    <w:rsid w:val="FBFFC0CE"/>
    <w:rsid w:val="FCD33108"/>
    <w:rsid w:val="FDE86937"/>
    <w:rsid w:val="FDFF8752"/>
    <w:rsid w:val="FEBEFCCF"/>
    <w:rsid w:val="FEF36222"/>
    <w:rsid w:val="FEFD4B81"/>
    <w:rsid w:val="FEFE8393"/>
    <w:rsid w:val="FF7DCB54"/>
    <w:rsid w:val="FF7F0FDC"/>
    <w:rsid w:val="FFBBB588"/>
    <w:rsid w:val="FFEED247"/>
    <w:rsid w:val="FFF3F94D"/>
    <w:rsid w:val="FFFDED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1"/>
    <w:qFormat/>
    <w:uiPriority w:val="0"/>
    <w:pPr>
      <w:tabs>
        <w:tab w:val="left" w:pos="562"/>
        <w:tab w:val="left" w:pos="3372"/>
        <w:tab w:val="left" w:pos="3653"/>
      </w:tabs>
    </w:pPr>
  </w:style>
  <w:style w:type="paragraph" w:styleId="4">
    <w:name w:val="Plain Text"/>
    <w:basedOn w:val="1"/>
    <w:semiHidden/>
    <w:qFormat/>
    <w:uiPriority w:val="0"/>
    <w:rPr>
      <w:rFonts w:ascii="宋体" w:hAnsi="Courier New" w:eastAsia="宋体" w:cs="Courier New"/>
      <w:szCs w:val="21"/>
    </w:rPr>
  </w:style>
  <w:style w:type="paragraph" w:styleId="5">
    <w:name w:val="footer"/>
    <w:basedOn w:val="1"/>
    <w:unhideWhenUsed/>
    <w:qFormat/>
    <w:uiPriority w:val="99"/>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Body Text 2"/>
    <w:basedOn w:val="1"/>
    <w:qFormat/>
    <w:uiPriority w:val="0"/>
    <w:pPr>
      <w:adjustRightInd w:val="0"/>
      <w:snapToGrid w:val="0"/>
      <w:spacing w:line="600" w:lineRule="atLeast"/>
      <w:jc w:val="center"/>
    </w:pPr>
    <w:rPr>
      <w:rFonts w:eastAsia="方正大标宋简体"/>
      <w:sz w:val="36"/>
    </w:r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Body Text First Indent"/>
    <w:basedOn w:val="3"/>
    <w:qFormat/>
    <w:uiPriority w:val="0"/>
    <w:pPr>
      <w:ind w:firstLine="420" w:firstLineChars="100"/>
    </w:pPr>
  </w:style>
  <w:style w:type="paragraph" w:customStyle="1" w:styleId="12">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1106</Words>
  <Characters>6310</Characters>
  <Lines>52</Lines>
  <Paragraphs>14</Paragraphs>
  <TotalTime>10</TotalTime>
  <ScaleCrop>false</ScaleCrop>
  <LinksUpToDate>false</LinksUpToDate>
  <CharactersWithSpaces>7402</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2021-08-16T17:25:00Z</dcterms:created>
  <dc:creator>青</dc:creator>
  <cp:lastModifiedBy>网站运维（陈梓标）</cp:lastModifiedBy>
  <cp:lastPrinted>2025-05-08T09:54:00Z</cp:lastPrinted>
  <dcterms:modified xsi:type="dcterms:W3CDTF">2026-09-01T08:44:51Z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1F4003A9C9A5045E8323856AB1DDA2F4</vt:lpwstr>
  </property>
</Properties>
</file>