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  录4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“人工智能+消费”标杆场景评分表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一、对于业务覆盖5个及以上区、提供服务次数不低于5万次的创新消费场景</w:t>
      </w:r>
    </w:p>
    <w:tbl>
      <w:tblPr>
        <w:tblStyle w:val="3"/>
        <w:tblpPr w:leftFromText="180" w:rightFromText="180" w:vertAnchor="text" w:horzAnchor="page" w:tblpX="1540" w:tblpY="370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989"/>
        <w:gridCol w:w="6353"/>
        <w:gridCol w:w="1426"/>
        <w:gridCol w:w="3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1553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技术适配性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技术成熟度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实际应用≥4项新一代人工智能技术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专利证书、软著证书；包括开源协议即符合使用条件说明、技术服务合同、授权使用文件等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实际应用3项新一代人工智能技术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AI技术实现层级与应用形态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（可重复得分）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bidi="ar"/>
              </w:rPr>
              <w:t>项目实现自主智能作业：应用具身智能、无人系统等核心技术，实现AI自主感知、自主决策、物理执行的全链路闭环。由AI直接操控硬件设备、机器人终端等物理载体，在实际服务场景中自主完成核心服务动作（如自动配送、自主作业、智能巡检等）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技术方案说明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、功能说明书、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演示视频等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项目实现生成式智能交互：应用AIGC（生成式人工智能）、大语言模型、多模态模型等核心技术，实现实时内容生成、多模态智能交互。系统可根据用户个性化输入，动态生成文本、图像、视频或定制化解决方案，为用户提供深度语义交互、沉浸式虚拟体验或个性化服务匹配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项目实现决策智能优化：应用机器学习、运筹优化、大数据分析等算法技术，实现后台资源智能调度、供需动态匹配、业务流程自动化等决策层优化。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市场实效性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规模覆盖能力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深圳全市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落地</w:t>
            </w:r>
            <w:r>
              <w:rPr>
                <w:rStyle w:val="4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bidi="ar"/>
              </w:rPr>
              <w:t>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  <w:r>
              <w:rPr>
                <w:rStyle w:val="4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bidi="ar"/>
              </w:rPr>
              <w:t>个</w:t>
            </w:r>
            <w:r>
              <w:rPr>
                <w:rStyle w:val="4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（指各区及前海合作区、深汕特别合作区等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12个区域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落地网点清单（含地址）、覆盖区域分布地图、用户规模统计表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深圳全市落地5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个</w:t>
            </w:r>
            <w:r>
              <w:rPr>
                <w:rStyle w:val="4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（指各区及前海合作区、深汕特别合作区等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12个区域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终端数/场景数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运营终端数或消费场景数（取高值）：≥50个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终端设备清单、场景部署清单、现场照片等材料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≥20个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≥10个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≥5个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&lt;5个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累计服务次数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累计服务次数：≥7万次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后台服务记录、消费订单数据（脱敏）、系统日志等材料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≥6万次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≥5万次（门槛）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&lt;5万次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深圳科创消费特色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深圳为全国首个落地城市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需附有官方媒体新闻稿截图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推广可行性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模式可复制性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已形成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标准化运营手册（含硬件部署、软件配置、人员培训、供应链）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标准化运营手册、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推广方案、商业计划书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有初步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推广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方案或商业计划书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无标准化文档，商业模式不清晰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可持续发展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bidi="ar"/>
              </w:rPr>
              <w:t>可持续运营能力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配备专职运营团队≥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人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提供≥1年详细运营规划和资金预算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安排情况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运营团队花名册（含职责分工）、社保缴纳记录、资金保障材料、未来1年运营规划方案、近3个月营收报表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配备专职运营团队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≥20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人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有≥6个月运营规划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无专职运营团队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或无长期运营规划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风险防控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风险应对与应急处理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已制定完整的AI技术故障、消费纠纷、数据安全、舆情应对四类应急预案，明确处置流程、责任人及24小时响应机制，近6个月无重大风险事故（数据泄露、重大舆情、群体性投诉）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风险防控应急预案文件、风险处置责任分工及通讯录、近6个月系统运维及投诉处理记录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有基础应急预案，覆盖核心风险场景（≥2类），但处置流程不完整或响应机制不明确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无应急预案，或近6个月内发生过重大风险事故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企业资质及示范引领作用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加分项（可重复得分）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国家级/省级科技企业资质或荣誉（包括但不限于：国家高新技术企业、专精特新“小巨人”企业、专精特新中小企业、创新型中小企业、国家技术创新示范企业、科技型中小企业、瞪羚企业、知识产权优势/示范企业等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相关荣誉证书、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主流媒体报道截图或链接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核心AI技术（大模型、视觉识别、推荐算法等）获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国家级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荣誉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核心AI技术（大模型、视觉识别、推荐算法等）获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省部级科技奖项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被国家级政府部门列为典型案例推广或被国家级主流媒体（央视、人民日报）专题报道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被省级政府部门列为典型案例推广或被省级主流媒体专题报道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注：新一代人工智能技术包括但不限于智算芯片、具身智能、高阶智驾、端侧轻量化模型、多模态模型等方向。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right="0" w:rightChars="0" w:firstLine="0" w:firstLineChars="0"/>
        <w:jc w:val="left"/>
        <w:textAlignment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二、对于业务聚焦在特定区域落地、常态化运营的创新消费场景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989"/>
        <w:gridCol w:w="6353"/>
        <w:gridCol w:w="1426"/>
        <w:gridCol w:w="3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53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维度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技术适配性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技术成熟度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实际应用≥3项新一代人工智能技术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专利证书、软著证书；包括开源协议即符合使用条件说明、技术服务合同、授权使用文件等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实际应用2项新一代人工智能技术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AI技术实现层级与应用形态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（可重复得分）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bidi="ar"/>
              </w:rPr>
              <w:t>项目实现自主智能作业：应用具身智能、无人系统等核心技术，实现AI自主感知、自主决策、物理执行的全链路闭环。由AI直接操控硬件设备、机器人终端等物理载体，在实际服务场景中自主完成核心服务动作（如自动配送、自主作业、智能巡检等）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技术方案说明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、功能说明书、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演示视频等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项目实现生成式智能交互：应用AIGC（生成式人工智能）、大语言模型、多模态模型等核心技术，实现实时内容生成、多模态智能交互。系统可根据用户个性化输入，动态生成文本、图像、视频或定制化解决方案，为用户提供深度语义交互、沉浸式虚拟体验或个性化服务匹配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项目实现决策智能优化：应用机器学习、运筹优化、大数据分析等算法技术，实现后台资源智能调度、供需动态匹配、业务流程自动化等决策层优化。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市场实效性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规模覆盖能力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在目标区域内落地网点≥5个，或累计服务区域常驻用户≥3万人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落地网点清单（含地址）、覆盖区域分布地图、用户规模统计表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落地网点3-4个，或服务用户1万-3万人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落地网点≤2个，或服务用户&lt;1万人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终端数/场景数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运营终端数或消费场景数（取高值）：≥30个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终端设备清单、场景部署清单、现场照片等材料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≥20个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≥10个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≥5个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&lt;5个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累计服务次数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（2025年9月30日以来）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≥2000次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后台服务记录、消费订单数据（脱敏）、系统日志等材料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≥1500次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≥1000次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&lt;1000次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深圳科创消费特色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深圳为全国首个落地城市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8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需附有官方媒体新闻稿截图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推广可行性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模式可复制性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形成的技术解决方案或运营模式已输出给≥1个其他区域作为参考借鉴（有正式交流纪要或合作协议）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标准化运营手册、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推广方案、商业计划书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已形成可公开的行业白皮书/操作指南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有详细的技术方案文档，具备参考价值但尚未输出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无标准化文档，商业模式不清晰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可持续发展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FFFFFF"/>
                <w:lang w:bidi="ar"/>
              </w:rPr>
              <w:t>可持续运营能力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配备专职运营团队≥10人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提供≥1年详细运营规划和资金预算安排情况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且项目已实现稳定盈利（连续3个月净利润为正）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运营团队花名册（含职责分工）、社保缴纳记录、资金保障材料、未来1年运营规划方案、近3个月营收报表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配备专职运营团队3-9人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有≥6个月运营规划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无专职运营团队</w:t>
            </w:r>
          </w:p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或无长期运营规划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风险防控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风险应对与应急处理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已制定完整的AI技术故障、消费纠纷、数据安全、舆情应对四类应急预案，明确处置流程、责任人及24小时响应机制，近6个月无重大风险事故（数据泄露、重大舆情、群体性投诉）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风险防控应急预案文件、风险处置责任分工及通讯录、近6个月系统运维及投诉处理记录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有基础应急预案，覆盖核心风险场景（≥2类），但处置流程不完整或响应机制不明确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无应急预案，或近6个月内发生过重大风险事故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restart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企业资质及示范引领作用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加分项（可重复得分）</w:t>
            </w: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国家级/省级科技企业资质或荣誉（包括但不限于：国家高新技术企业、专精特新“小巨人”企业、专精特新中小企业、创新型中小企业、国家技术创新示范企业、科技型中小企业、瞪羚企业、知识产权优势/示范企业等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相关荣誉证书、主流媒体报道截图或链接等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核心AI技术（大模型、视觉识别、推荐算法等）获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国家级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eastAsia="zh-CN" w:bidi="ar"/>
              </w:rPr>
              <w:t>荣誉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核心AI技术（大模型、视觉识别、推荐算法等）获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  <w:t>省部级科技奖项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被国家级政府部门列为典型案例推广或被国家级主流媒体（央视、人民日报）专题报道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53" w:type="dxa"/>
            <w:vMerge w:val="continue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53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bidi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被省级政府部门列为典型案例推广或被省级主流媒体专题报道</w:t>
            </w:r>
          </w:p>
        </w:tc>
        <w:tc>
          <w:tcPr>
            <w:tcW w:w="142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注：新一代人工智能技术包括但不限于智算芯片、具身智能、高阶智驾、端侧轻量化模型、多模态模型等方向。</w:t>
      </w:r>
    </w:p>
    <w:p>
      <w:bookmarkStart w:id="0" w:name="_GoBack"/>
      <w:bookmarkEnd w:id="0"/>
    </w:p>
    <w:sectPr>
      <w:pgSz w:w="16838" w:h="11906" w:orient="landscape"/>
      <w:pgMar w:top="1474" w:right="1814" w:bottom="147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67F45"/>
    <w:rsid w:val="4A367F45"/>
    <w:rsid w:val="4F6B08A1"/>
    <w:rsid w:val="540D7E62"/>
    <w:rsid w:val="661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2026-04-30T06:42:00Z</dcterms:created>
  <dc:creator>收文会务（陈楠）</dc:creator>
  <cp:lastModifiedBy>收文会务（陈楠）</cp:lastModifiedBy>
  <dcterms:modified xsi:type="dcterms:W3CDTF">2026-04-30T07:04:17Z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