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  录2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国内外知名品牌目录</w:t>
      </w:r>
    </w:p>
    <w:tbl>
      <w:tblPr>
        <w:tblStyle w:val="3"/>
        <w:tblW w:w="52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710"/>
        <w:gridCol w:w="2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榜单名称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发布机构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《财富》世界500强排行榜 (Fortune Global 500)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美国《财富》杂志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《世界品牌500强》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世界品牌实验室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《福布斯》全球企业2000强 (Forbes Global 2000)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美国《福布斯》杂志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《全球奢侈品力量》报告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Interbrand全球最佳品牌排行榜 (Best Global Brands)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Interbrand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欧睿国际行业榜单 (Euromonitor International)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欧睿国际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福布斯中国新锐品牌Top100、福布斯中国30Under30等相关品牌榜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福布斯中国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中国500最具价值品牌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​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世界品牌实验室 (WBL)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《胡润全球高质量企业TOP1000》《胡润中国品牌榜》《胡润全球独角兽榜》《胡润全球瞪羚企业榜》《胡润中国猎豹企业榜》等相关品牌榜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胡润研究院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米其林指南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米其林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中国企业500强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中国企业联合会、中国企业家协会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中国连锁百强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中国连锁经营协会 (CCFA)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中国互联网综合实力前百家企业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中国互联网协会</w:t>
            </w:r>
          </w:p>
        </w:tc>
      </w:tr>
    </w:tbl>
    <w:p>
      <w:r>
        <w:rPr>
          <w:rFonts w:hint="eastAsia" w:ascii="楷体_GB2312" w:hAnsi="楷体_GB2312" w:eastAsia="楷体_GB2312" w:cs="楷体_GB2312"/>
          <w:sz w:val="28"/>
          <w:szCs w:val="36"/>
          <w:highlight w:val="none"/>
          <w:lang w:eastAsia="zh-CN"/>
        </w:rPr>
        <w:t>注：上述榜单均为2025年以来评定产生的榜单。</w:t>
      </w:r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138A4"/>
    <w:rsid w:val="540D7E62"/>
    <w:rsid w:val="7171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2026-04-30T06:40:00Z</dcterms:created>
  <dc:creator>收文会务（陈楠）</dc:creator>
  <cp:lastModifiedBy>收文会务（陈楠）</cp:lastModifiedBy>
  <dcterms:modified xsi:type="dcterms:W3CDTF">2026-04-30T06:41:13Z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