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7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8"/>
          <w:szCs w:val="48"/>
          <w:shd w:val="clear" w:fill="FFFFFF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8"/>
          <w:szCs w:val="48"/>
          <w:shd w:val="clear" w:fill="FFFFFF"/>
          <w:lang w:val="en-US" w:eastAsia="zh-CN"/>
        </w:rPr>
        <w:t>深圳市投资促进局</w:t>
      </w: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8"/>
          <w:szCs w:val="48"/>
          <w:shd w:val="clear" w:fill="FFFFFF"/>
        </w:rPr>
        <w:t>关于对</w:t>
      </w:r>
      <w:bookmarkStart w:id="0" w:name="OLE_LINK5"/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8"/>
          <w:szCs w:val="48"/>
          <w:shd w:val="clear" w:fill="FFFFFF"/>
        </w:rPr>
        <w:t>市政协七届五次会议第20250574号</w:t>
      </w:r>
      <w:bookmarkEnd w:id="0"/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8"/>
          <w:szCs w:val="48"/>
          <w:shd w:val="clear" w:fill="FFFFFF"/>
        </w:rPr>
        <w:t>提案答复意见的函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7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8"/>
          <w:szCs w:val="4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尊敬的乔宗利代表：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Calibri" w:hAnsi="宋体" w:eastAsia="仿宋_GB2312" w:cs="Times New Roman"/>
          <w:kern w:val="2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您在市政协七届五次会议第20250574号提出《关于加强深圳商办市场招商引资公平性竞争的提案》收悉。非常感谢您对深圳投资促进工作的关心与支持。经认真研究，现答复如下：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  <w:t>一、积极引导市外来深投资企业</w:t>
      </w:r>
      <w:bookmarkStart w:id="1" w:name="OLE_LINK2"/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  <w:t>租购市场化楼宇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bookmarkStart w:id="2" w:name="OLE_LINK4"/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市投资促进部门一直以来积极统筹各区、各产业部门在招商引资过程中，建立全市投资推广园区体系，引导市外来深投资企业通过市场化方式租购市场化楼宇，共同做好项目落地服务。在引导项目投资方租购市场化楼宇方面取得一定成效：</w:t>
      </w:r>
      <w:r>
        <w:rPr>
          <w:rStyle w:val="7"/>
          <w:rFonts w:hint="eastAsia" w:ascii="仿宋_GB2312" w:hAnsi="仿宋_GB2312" w:eastAsia="仿宋_GB2312" w:cs="仿宋_GB2312"/>
          <w:b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一是着力推介重点市场化楼宇。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通过促成世界500强山东魏桥集团、大型央企中交建集团、新质生产力代表华润微电子、知名出海企业影石创新等入驻前海人寿金融中心，形成优质企业集聚效应；2025年以来，新推动香港铂昕科技旗下“深圳酷赛智能有限公司”、上海万邑通旗下“万邑通（深圳）供应链信息技术有限公司”入驻。</w:t>
      </w:r>
      <w:r>
        <w:rPr>
          <w:rStyle w:val="7"/>
          <w:rFonts w:hint="eastAsia" w:ascii="仿宋_GB2312" w:hAnsi="仿宋_GB2312" w:eastAsia="仿宋_GB2312" w:cs="仿宋_GB2312"/>
          <w:b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二是协助做好市场化楼宇去化工作。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2024年以来，宁波美康生物通过租赁方式落户前海科兴科学园，北京首证通过租赁方式落户宝安区龙光世纪大厦，山西九五投资通过租赁方式落户宝安区卓越宝中时代广场，必维华法通过租赁方式落户龙华区鸿创科技园，广东科达盛通过租赁方式落户盐田区大百汇高新技术工业园，灵心巧手通过租赁方式落户星河WORLD等等。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  <w:t>二、坚决贯彻落实构建全国统一大市场战略部署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Calibri" w:hAnsi="宋体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Calibri" w:hAnsi="宋体" w:eastAsia="仿宋_GB2312" w:cs="Times New Roman"/>
          <w:kern w:val="2"/>
          <w:sz w:val="32"/>
          <w:szCs w:val="32"/>
          <w:lang w:val="en-US" w:eastAsia="zh-CN"/>
        </w:rPr>
        <w:t>市投资促进部门坚决贯彻落实国家构建全国统一大市场战略部署，在新形势下构建规范高效的招商引资新模式。</w:t>
      </w:r>
      <w:r>
        <w:rPr>
          <w:rFonts w:hint="eastAsia" w:ascii="Calibri" w:hAnsi="宋体" w:eastAsia="仿宋_GB2312" w:cs="Times New Roman"/>
          <w:b/>
          <w:bCs/>
          <w:kern w:val="2"/>
          <w:sz w:val="32"/>
          <w:szCs w:val="32"/>
          <w:lang w:val="en-US" w:eastAsia="zh-CN"/>
        </w:rPr>
        <w:t>一是加强招商引资统筹。</w:t>
      </w:r>
      <w:r>
        <w:rPr>
          <w:rFonts w:hint="eastAsia" w:ascii="Calibri" w:hAnsi="宋体" w:eastAsia="仿宋_GB2312" w:cs="Times New Roman"/>
          <w:kern w:val="2"/>
          <w:sz w:val="32"/>
          <w:szCs w:val="32"/>
          <w:lang w:val="en-US" w:eastAsia="zh-CN"/>
        </w:rPr>
        <w:t>制定印发《关于进一步加强投资促进工作的意见》，明确全市招商引资工作原则，理清市投资促进部门与市各产业主管部门、各区职能定位和工作边界，形成全市有序招商新格局。</w:t>
      </w:r>
      <w:r>
        <w:rPr>
          <w:rFonts w:hint="eastAsia" w:ascii="Calibri" w:hAnsi="宋体" w:eastAsia="仿宋_GB2312" w:cs="Times New Roman"/>
          <w:b/>
          <w:bCs/>
          <w:kern w:val="2"/>
          <w:sz w:val="32"/>
          <w:szCs w:val="32"/>
          <w:lang w:val="en-US" w:eastAsia="zh-CN"/>
        </w:rPr>
        <w:t>二是从严规范招商引资行为。</w:t>
      </w:r>
      <w:r>
        <w:rPr>
          <w:rFonts w:hint="eastAsia" w:ascii="Calibri" w:hAnsi="宋体" w:eastAsia="仿宋_GB2312" w:cs="Times New Roman"/>
          <w:kern w:val="2"/>
          <w:sz w:val="32"/>
          <w:szCs w:val="32"/>
          <w:lang w:val="en-US" w:eastAsia="zh-CN"/>
        </w:rPr>
        <w:t>召开深圳市规范招商引资工作座谈会，邀请市财政局传达财政部有关工作要求，市市场监督管理局解读公平竞争审查制度规则，系统地梳理国家省市关于规范招商引资和外商投资的政策，准确把握工作重点和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  <w:t>三、下一步工作计划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Style w:val="7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加强招商引资统筹建立健全高水平良性招商引资新机制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落实落细国家构建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全国统一大市场战略部署，为各类市场主体营造公平竞争的市场环境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在招商引资过程中，进一步加大力度引导市外来深投资企业租购市场化楼宇。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专此答复。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right="0" w:firstLine="654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深圳市投资促进局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2025年8月12日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3" w:name="_GoBack"/>
      <w:bookmarkEnd w:id="3"/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4D"/>
    <w:family w:val="roman"/>
    <w:pitch w:val="default"/>
    <w:sig w:usb0="00000000" w:usb1="00000000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gNOOMgIAAGE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FgAAAGRycy9QSwECFAAUAAAACACHTuJAs0lY7tAAAAAFAQAADwAAAAAAAAABACAAAAA4AAAA&#10;ZHJzL2Rvd25yZXYueG1sUEsBAhQAFAAAAAgAh07iQOGA044yAgAAYQQAAA4AAAAAAAAAAQAgAAAA&#10;NQEAAGRycy9lMm9Eb2MueG1s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24F6A"/>
    <w:rsid w:val="0FFA9DD8"/>
    <w:rsid w:val="123A60B5"/>
    <w:rsid w:val="15865685"/>
    <w:rsid w:val="16367740"/>
    <w:rsid w:val="24D137B9"/>
    <w:rsid w:val="29E94B86"/>
    <w:rsid w:val="2F7020CA"/>
    <w:rsid w:val="301D05CC"/>
    <w:rsid w:val="53825163"/>
    <w:rsid w:val="572B3D81"/>
    <w:rsid w:val="59824A30"/>
    <w:rsid w:val="59E51E62"/>
    <w:rsid w:val="5E7234CF"/>
    <w:rsid w:val="60390A30"/>
    <w:rsid w:val="65BD3C8D"/>
    <w:rsid w:val="66127E31"/>
    <w:rsid w:val="67182A90"/>
    <w:rsid w:val="68066EFD"/>
    <w:rsid w:val="68D17CAE"/>
    <w:rsid w:val="69376CE5"/>
    <w:rsid w:val="6A140829"/>
    <w:rsid w:val="6DC62E01"/>
    <w:rsid w:val="6DF6103D"/>
    <w:rsid w:val="79D84EF2"/>
    <w:rsid w:val="79F501B9"/>
    <w:rsid w:val="79FEE79A"/>
    <w:rsid w:val="B3E11767"/>
    <w:rsid w:val="DF6D3827"/>
    <w:rsid w:val="DFEAE133"/>
    <w:rsid w:val="DFED93E6"/>
    <w:rsid w:val="F7F3473A"/>
    <w:rsid w:val="F7FBB1D2"/>
    <w:rsid w:val="FFFFE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autoSpaceDE w:val="0"/>
      <w:autoSpaceDN w:val="0"/>
      <w:jc w:val="left"/>
    </w:pPr>
    <w:rPr>
      <w:rFonts w:ascii="宋体" w:hAnsi="宋体" w:eastAsia="宋体" w:cs="宋体"/>
      <w:kern w:val="0"/>
      <w:sz w:val="29"/>
      <w:szCs w:val="29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文件收发（黄俊源）</cp:lastModifiedBy>
  <dcterms:modified xsi:type="dcterms:W3CDTF">2025-11-04T16:22:23Z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2BAD76BB0328033562A44A689EC1B91D</vt:lpwstr>
  </property>
</Properties>
</file>