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深圳市商务局关于市政协七届五次会议第20250390号提案建议答复意见的函</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jc w:val="both"/>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民革深圳市委会：</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eastAsia="仿宋_GB2312"/>
          <w:sz w:val="32"/>
          <w:szCs w:val="32"/>
        </w:rPr>
        <w:t>市政协七届五次会议第20250390号《</w:t>
      </w:r>
      <w:r>
        <w:rPr>
          <w:rFonts w:hint="eastAsia" w:ascii="仿宋_GB2312" w:hAnsi="仿宋_GB2312" w:eastAsia="仿宋_GB2312" w:cs="仿宋_GB2312"/>
          <w:kern w:val="2"/>
          <w:sz w:val="32"/>
          <w:szCs w:val="32"/>
          <w:lang w:val="en-US" w:eastAsia="zh-CN" w:bidi="ar-SA"/>
        </w:rPr>
        <w:t>关于加强我市生活美容业监管的提案</w:t>
      </w:r>
      <w:r>
        <w:rPr>
          <w:rFonts w:hint="eastAsia" w:ascii="仿宋_GB2312" w:eastAsia="仿宋_GB2312"/>
          <w:sz w:val="32"/>
          <w:szCs w:val="32"/>
        </w:rPr>
        <w:t>》收悉</w:t>
      </w:r>
      <w:r>
        <w:rPr>
          <w:rFonts w:hint="default" w:ascii="仿宋_GB2312" w:eastAsia="仿宋_GB2312"/>
          <w:sz w:val="32"/>
          <w:szCs w:val="32"/>
        </w:rPr>
        <w:t>，</w:t>
      </w:r>
      <w:r>
        <w:rPr>
          <w:rFonts w:hint="eastAsia" w:ascii="仿宋_GB2312" w:hAnsi="仿宋_GB2312" w:eastAsia="仿宋_GB2312" w:cs="仿宋_GB2312"/>
          <w:kern w:val="2"/>
          <w:sz w:val="32"/>
          <w:szCs w:val="32"/>
          <w:lang w:val="en-US" w:eastAsia="zh-CN" w:bidi="ar-SA"/>
        </w:rPr>
        <w:t>非常感谢您对我市生活美容业工作的关心与支持</w:t>
      </w:r>
      <w:r>
        <w:rPr>
          <w:rFonts w:hint="default" w:ascii="仿宋_GB2312" w:hAnsi="仿宋_GB2312" w:eastAsia="仿宋_GB2312" w:cs="仿宋_GB2312"/>
          <w:kern w:val="2"/>
          <w:sz w:val="32"/>
          <w:szCs w:val="32"/>
          <w:lang w:eastAsia="zh-CN" w:bidi="ar-SA"/>
        </w:rPr>
        <w:t>，</w:t>
      </w:r>
      <w:r>
        <w:rPr>
          <w:rFonts w:hint="eastAsia" w:ascii="仿宋_GB2312" w:hAnsi="仿宋_GB2312" w:eastAsia="仿宋_GB2312" w:cs="仿宋_GB2312"/>
          <w:kern w:val="2"/>
          <w:sz w:val="32"/>
          <w:szCs w:val="32"/>
          <w:lang w:val="en-US" w:eastAsia="zh-CN" w:bidi="ar-SA"/>
        </w:rPr>
        <w:t>您所提建议内容对我市进一步推动生活美容业高质量发展具有</w:t>
      </w:r>
      <w:r>
        <w:rPr>
          <w:rFonts w:hint="default" w:ascii="仿宋_GB2312" w:hAnsi="仿宋_GB2312" w:eastAsia="仿宋_GB2312" w:cs="仿宋_GB2312"/>
          <w:kern w:val="2"/>
          <w:sz w:val="32"/>
          <w:szCs w:val="32"/>
          <w:lang w:eastAsia="zh-CN" w:bidi="ar-SA"/>
        </w:rPr>
        <w:t>很好</w:t>
      </w:r>
      <w:r>
        <w:rPr>
          <w:rFonts w:hint="eastAsia" w:ascii="仿宋_GB2312" w:hAnsi="仿宋_GB2312" w:eastAsia="仿宋_GB2312" w:cs="仿宋_GB2312"/>
          <w:kern w:val="2"/>
          <w:sz w:val="32"/>
          <w:szCs w:val="32"/>
          <w:lang w:val="en-US" w:eastAsia="zh-CN" w:bidi="ar-SA"/>
        </w:rPr>
        <w:t>的</w:t>
      </w:r>
      <w:r>
        <w:rPr>
          <w:rFonts w:hint="default" w:ascii="仿宋_GB2312" w:hAnsi="仿宋_GB2312" w:eastAsia="仿宋_GB2312" w:cs="仿宋_GB2312"/>
          <w:kern w:val="2"/>
          <w:sz w:val="32"/>
          <w:szCs w:val="32"/>
          <w:lang w:eastAsia="zh-CN" w:bidi="ar-SA"/>
        </w:rPr>
        <w:t>借鉴</w:t>
      </w:r>
      <w:r>
        <w:rPr>
          <w:rFonts w:hint="eastAsia" w:ascii="仿宋_GB2312" w:hAnsi="仿宋_GB2312" w:eastAsia="仿宋_GB2312" w:cs="仿宋_GB2312"/>
          <w:kern w:val="2"/>
          <w:sz w:val="32"/>
          <w:szCs w:val="32"/>
          <w:lang w:val="en-US" w:eastAsia="zh-CN" w:bidi="ar-SA"/>
        </w:rPr>
        <w:t>意义。</w:t>
      </w:r>
      <w:r>
        <w:rPr>
          <w:rFonts w:hint="default" w:ascii="仿宋_GB2312" w:hAnsi="仿宋_GB2312" w:eastAsia="仿宋_GB2312" w:cs="仿宋_GB2312"/>
          <w:sz w:val="32"/>
          <w:szCs w:val="32"/>
        </w:rPr>
        <w:t>经认真研究并汇总有关部门意见，现就提案答复</w:t>
      </w:r>
      <w:r>
        <w:rPr>
          <w:rFonts w:hint="default" w:ascii="仿宋_GB2312" w:eastAsia="仿宋_GB2312"/>
          <w:sz w:val="32"/>
          <w:szCs w:val="32"/>
        </w:rPr>
        <w:t>如下：</w:t>
      </w:r>
    </w:p>
    <w:p>
      <w:pPr>
        <w:pStyle w:val="9"/>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一、关于“快速有效解决消费纠纷”的建议</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 w:eastAsia="仿宋_GB2312" w:cs="Times New Roman"/>
          <w:sz w:val="32"/>
          <w:szCs w:val="32"/>
          <w:lang w:bidi="ar"/>
        </w:rPr>
      </w:pPr>
      <w:r>
        <w:rPr>
          <w:rFonts w:hint="eastAsia" w:ascii="仿宋_GB2312" w:hAnsi="仿宋_GB2312" w:eastAsia="仿宋_GB2312" w:cs="仿宋_GB2312"/>
          <w:kern w:val="0"/>
          <w:sz w:val="32"/>
          <w:szCs w:val="32"/>
          <w:lang w:val="en-US" w:eastAsia="zh-CN" w:bidi="ar"/>
        </w:rPr>
        <w:t>根据《中华人民共和国消费者权益保护法实施条例》等相关规定，</w:t>
      </w:r>
      <w:r>
        <w:rPr>
          <w:rFonts w:hint="default" w:ascii="仿宋_GB2312" w:hAnsi="仿宋_GB2312" w:eastAsia="仿宋_GB2312" w:cs="仿宋_GB2312"/>
          <w:kern w:val="0"/>
          <w:sz w:val="32"/>
          <w:szCs w:val="32"/>
          <w:lang w:eastAsia="zh-CN" w:bidi="ar"/>
        </w:rPr>
        <w:t>目前我市已初步建立了</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eastAsia="zh-CN" w:bidi="ar"/>
        </w:rPr>
        <w:t>现场</w:t>
      </w:r>
      <w:r>
        <w:rPr>
          <w:rFonts w:hint="eastAsia" w:ascii="仿宋_GB2312" w:hAnsi="仿宋_GB2312" w:eastAsia="仿宋_GB2312" w:cs="仿宋_GB2312"/>
          <w:kern w:val="0"/>
          <w:sz w:val="32"/>
          <w:szCs w:val="32"/>
          <w:lang w:val="en-US" w:eastAsia="zh-CN" w:bidi="ar"/>
        </w:rPr>
        <w:t>扫码、找服务站、拨</w:t>
      </w:r>
      <w:r>
        <w:rPr>
          <w:rFonts w:hint="default" w:ascii="仿宋_GB2312" w:hAnsi="仿宋_GB2312" w:eastAsia="仿宋_GB2312" w:cs="仿宋_GB2312"/>
          <w:kern w:val="0"/>
          <w:sz w:val="32"/>
          <w:szCs w:val="32"/>
          <w:lang w:eastAsia="zh-CN" w:bidi="ar"/>
        </w:rPr>
        <w:t>打热线</w:t>
      </w:r>
      <w:r>
        <w:rPr>
          <w:rFonts w:hint="eastAsia" w:ascii="仿宋_GB2312" w:hAnsi="仿宋_GB2312" w:eastAsia="仿宋_GB2312" w:cs="仿宋_GB2312"/>
          <w:kern w:val="0"/>
          <w:sz w:val="32"/>
          <w:szCs w:val="32"/>
          <w:lang w:val="en-US" w:eastAsia="zh-CN" w:bidi="ar"/>
        </w:rPr>
        <w:t>、仲裁诉讼”</w:t>
      </w:r>
      <w:r>
        <w:rPr>
          <w:rFonts w:hint="default" w:ascii="仿宋_GB2312" w:hAnsi="仿宋_GB2312" w:eastAsia="仿宋_GB2312" w:cs="仿宋_GB2312"/>
          <w:kern w:val="0"/>
          <w:sz w:val="32"/>
          <w:szCs w:val="32"/>
          <w:lang w:eastAsia="zh-CN" w:bidi="ar"/>
        </w:rPr>
        <w:t>的</w:t>
      </w:r>
      <w:r>
        <w:rPr>
          <w:rFonts w:hint="eastAsia" w:ascii="仿宋_GB2312" w:hAnsi="仿宋_GB2312" w:eastAsia="仿宋_GB2312" w:cs="仿宋_GB2312"/>
          <w:kern w:val="0"/>
          <w:sz w:val="32"/>
          <w:szCs w:val="32"/>
          <w:lang w:val="en-US" w:eastAsia="zh-CN" w:bidi="ar"/>
        </w:rPr>
        <w:t>快速有效解决消费纠纷</w:t>
      </w:r>
      <w:r>
        <w:rPr>
          <w:rFonts w:hint="default" w:ascii="仿宋_GB2312" w:hAnsi="仿宋_GB2312" w:eastAsia="仿宋_GB2312" w:cs="仿宋_GB2312"/>
          <w:kern w:val="0"/>
          <w:sz w:val="32"/>
          <w:szCs w:val="32"/>
          <w:lang w:eastAsia="zh-CN" w:bidi="ar"/>
        </w:rPr>
        <w:t>渠道</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eastAsia="zh-CN" w:bidi="ar"/>
        </w:rPr>
        <w:t>极大的</w:t>
      </w:r>
      <w:r>
        <w:rPr>
          <w:rFonts w:hint="eastAsia" w:ascii="仿宋_GB2312" w:hAnsi="仿宋_GB2312" w:eastAsia="仿宋_GB2312" w:cs="仿宋_GB2312"/>
          <w:kern w:val="0"/>
          <w:sz w:val="32"/>
          <w:szCs w:val="32"/>
          <w:lang w:val="en-US" w:eastAsia="zh-CN" w:bidi="ar"/>
        </w:rPr>
        <w:t>缩减消费纠纷解决时间。</w:t>
      </w:r>
      <w:r>
        <w:rPr>
          <w:rFonts w:hint="default" w:ascii="仿宋_GB2312" w:hAnsi="仿宋_GB2312" w:eastAsia="仿宋_GB2312" w:cs="仿宋_GB2312"/>
          <w:kern w:val="0"/>
          <w:sz w:val="32"/>
          <w:szCs w:val="32"/>
          <w:lang w:eastAsia="zh-CN" w:bidi="ar"/>
        </w:rPr>
        <w:t>如</w:t>
      </w:r>
      <w:r>
        <w:rPr>
          <w:rFonts w:hint="eastAsia" w:ascii="仿宋_GB2312" w:hAnsi="仿宋_GB2312" w:eastAsia="仿宋_GB2312" w:cs="仿宋_GB2312"/>
          <w:kern w:val="0"/>
          <w:sz w:val="32"/>
          <w:szCs w:val="32"/>
          <w:lang w:val="en-US" w:eastAsia="zh-CN" w:bidi="ar"/>
        </w:rPr>
        <w:t>在罗湖、福田、南山等重点商圈（万象城、东门茂业、益田假日广场等）购物、医美发生纠纷</w:t>
      </w:r>
      <w:r>
        <w:rPr>
          <w:rFonts w:hint="default"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val="en-US" w:eastAsia="zh-CN" w:bidi="ar"/>
        </w:rPr>
        <w:t>打开微信扫场所内“一码当先”二维码，或搜索小程序“一码当先”</w:t>
      </w:r>
      <w:r>
        <w:rPr>
          <w:rFonts w:hint="default"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val="en-US" w:eastAsia="zh-CN" w:bidi="ar"/>
        </w:rPr>
        <w:t>点“我要投诉”</w:t>
      </w:r>
      <w:r>
        <w:rPr>
          <w:rFonts w:hint="default" w:ascii="仿宋_GB2312" w:hAnsi="仿宋_GB2312" w:eastAsia="仿宋_GB2312" w:cs="仿宋_GB2312"/>
          <w:kern w:val="0"/>
          <w:sz w:val="32"/>
          <w:szCs w:val="32"/>
          <w:lang w:eastAsia="zh-CN" w:bidi="ar"/>
        </w:rPr>
        <w:t>填写</w:t>
      </w:r>
      <w:r>
        <w:rPr>
          <w:rFonts w:hint="eastAsia" w:ascii="仿宋_GB2312" w:hAnsi="仿宋_GB2312" w:eastAsia="仿宋_GB2312" w:cs="仿宋_GB2312"/>
          <w:kern w:val="0"/>
          <w:sz w:val="32"/>
          <w:szCs w:val="32"/>
          <w:lang w:val="en-US" w:eastAsia="zh-CN" w:bidi="ar"/>
        </w:rPr>
        <w:t>商户名称、诉求、金额并上传小票</w:t>
      </w:r>
      <w:r>
        <w:rPr>
          <w:rFonts w:hint="default" w:ascii="仿宋_GB2312" w:hAnsi="仿宋_GB2312" w:eastAsia="仿宋_GB2312" w:cs="仿宋_GB2312"/>
          <w:kern w:val="0"/>
          <w:sz w:val="32"/>
          <w:szCs w:val="32"/>
          <w:lang w:eastAsia="zh-CN" w:bidi="ar"/>
        </w:rPr>
        <w:t>等，</w:t>
      </w:r>
      <w:r>
        <w:rPr>
          <w:rFonts w:hint="eastAsia" w:ascii="仿宋_GB2312" w:hAnsi="仿宋_GB2312" w:eastAsia="仿宋_GB2312" w:cs="仿宋_GB2312"/>
          <w:kern w:val="0"/>
          <w:sz w:val="32"/>
          <w:szCs w:val="32"/>
          <w:lang w:val="en-US" w:eastAsia="zh-CN" w:bidi="ar"/>
        </w:rPr>
        <w:t>商圈专员将</w:t>
      </w:r>
      <w:r>
        <w:rPr>
          <w:rFonts w:hint="default" w:ascii="仿宋_GB2312" w:hAnsi="仿宋_GB2312" w:eastAsia="仿宋_GB2312" w:cs="仿宋_GB2312"/>
          <w:kern w:val="0"/>
          <w:sz w:val="32"/>
          <w:szCs w:val="32"/>
          <w:lang w:eastAsia="zh-CN" w:bidi="ar"/>
        </w:rPr>
        <w:t>迅速</w:t>
      </w:r>
      <w:r>
        <w:rPr>
          <w:rFonts w:hint="eastAsia" w:ascii="仿宋_GB2312" w:hAnsi="仿宋_GB2312" w:eastAsia="仿宋_GB2312" w:cs="仿宋_GB2312"/>
          <w:kern w:val="0"/>
          <w:sz w:val="32"/>
          <w:szCs w:val="32"/>
          <w:lang w:val="en-US" w:eastAsia="zh-CN" w:bidi="ar"/>
        </w:rPr>
        <w:t>响应</w:t>
      </w:r>
      <w:r>
        <w:rPr>
          <w:rFonts w:hint="default" w:ascii="仿宋_GB2312" w:hAnsi="仿宋_GB2312" w:eastAsia="仿宋_GB2312" w:cs="仿宋_GB2312"/>
          <w:kern w:val="0"/>
          <w:sz w:val="32"/>
          <w:szCs w:val="32"/>
          <w:lang w:eastAsia="zh-CN" w:bidi="ar"/>
        </w:rPr>
        <w:t>；消费者还可以到家附近的社区工作站、商超服务台找“消费者权益服务站”；消费者还可以通过拨打12315热线、12345热线或者微信搜索“315消费通”“民意速办”等公众号进行举报投诉；金额较大或拒不履行的可直接到“深圳市消费争议仲裁办公室”申请免费仲裁。</w:t>
      </w:r>
      <w:r>
        <w:rPr>
          <w:rFonts w:hint="eastAsia" w:ascii="仿宋_GB2312" w:hAnsi="仿宋_GB2312" w:eastAsia="仿宋_GB2312" w:cs="仿宋_GB2312"/>
          <w:kern w:val="0"/>
          <w:sz w:val="32"/>
          <w:szCs w:val="32"/>
          <w:lang w:val="en-US" w:eastAsia="zh-CN" w:bidi="ar"/>
        </w:rPr>
        <w:t>其中</w:t>
      </w:r>
      <w:r>
        <w:rPr>
          <w:rFonts w:hint="default"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val="en-US" w:eastAsia="zh-CN" w:bidi="ar"/>
        </w:rPr>
        <w:t>投诉生活美容场所的卫生标准（如消毒措施、环境卫生等）、</w:t>
      </w:r>
      <w:r>
        <w:rPr>
          <w:rFonts w:hint="eastAsia" w:ascii="仿宋_GB2312" w:hAnsi="仿宋" w:eastAsia="仿宋_GB2312" w:cs="Times New Roman"/>
          <w:i w:val="0"/>
          <w:iCs w:val="0"/>
          <w:caps w:val="0"/>
          <w:spacing w:val="0"/>
          <w:kern w:val="2"/>
          <w:sz w:val="32"/>
          <w:szCs w:val="32"/>
          <w:shd w:val="clear" w:color="auto" w:fill="auto"/>
          <w:lang w:val="en-US" w:eastAsia="zh-CN" w:bidi="ar"/>
        </w:rPr>
        <w:t>从业人员健康证明或非法行医的，由卫生行政部门依法处理。为进一步加大对生活美容场所公共卫生违法行为的查处，2024年7月25日，市卫生健康委印发了《</w:t>
      </w:r>
      <w:r>
        <w:rPr>
          <w:rFonts w:hint="eastAsia" w:ascii="仿宋_GB2312" w:hAnsi="仿宋" w:eastAsia="仿宋_GB2312" w:cs="Times New Roman"/>
          <w:sz w:val="32"/>
          <w:szCs w:val="32"/>
          <w:lang w:bidi="ar"/>
        </w:rPr>
        <w:t>2024年深圳市公共卫生“健安”系列专项8号行动计划——生活美容场所卫生</w:t>
      </w:r>
      <w:r>
        <w:rPr>
          <w:rFonts w:hint="eastAsia" w:ascii="仿宋_GB2312" w:hAnsi="仿宋" w:eastAsia="仿宋_GB2312" w:cs="Times New Roman"/>
          <w:i w:val="0"/>
          <w:iCs w:val="0"/>
          <w:caps w:val="0"/>
          <w:spacing w:val="0"/>
          <w:kern w:val="2"/>
          <w:sz w:val="32"/>
          <w:szCs w:val="32"/>
          <w:shd w:val="clear" w:color="auto" w:fill="auto"/>
          <w:lang w:val="en-US" w:eastAsia="zh-CN" w:bidi="ar"/>
        </w:rPr>
        <w:t>》</w:t>
      </w:r>
      <w:r>
        <w:rPr>
          <w:rFonts w:hint="default" w:ascii="仿宋_GB2312" w:hAnsi="仿宋" w:eastAsia="仿宋_GB2312" w:cs="Times New Roman"/>
          <w:i w:val="0"/>
          <w:iCs w:val="0"/>
          <w:caps w:val="0"/>
          <w:spacing w:val="0"/>
          <w:kern w:val="2"/>
          <w:sz w:val="32"/>
          <w:szCs w:val="32"/>
          <w:shd w:val="clear" w:color="auto" w:fill="auto"/>
          <w:lang w:eastAsia="zh-CN" w:bidi="ar"/>
        </w:rPr>
        <w:t>，</w:t>
      </w:r>
      <w:r>
        <w:rPr>
          <w:rFonts w:hint="eastAsia" w:ascii="仿宋_GB2312" w:hAnsi="仿宋" w:eastAsia="仿宋_GB2312" w:cs="Times New Roman"/>
          <w:i w:val="0"/>
          <w:iCs w:val="0"/>
          <w:caps w:val="0"/>
          <w:spacing w:val="0"/>
          <w:kern w:val="2"/>
          <w:sz w:val="32"/>
          <w:szCs w:val="32"/>
          <w:shd w:val="clear" w:color="auto" w:fill="auto"/>
          <w:lang w:val="en-US" w:eastAsia="zh-CN" w:bidi="ar"/>
        </w:rPr>
        <w:t>按全市生活美容机构本底数据的</w:t>
      </w:r>
      <w:r>
        <w:rPr>
          <w:rFonts w:hint="eastAsia" w:ascii="仿宋_GB2312" w:hAnsi="仿宋" w:eastAsia="仿宋_GB2312" w:cs="Times New Roman"/>
          <w:sz w:val="32"/>
          <w:szCs w:val="32"/>
          <w:lang w:bidi="ar"/>
        </w:rPr>
        <w:t>6.35%</w:t>
      </w:r>
      <w:r>
        <w:rPr>
          <w:rFonts w:hint="eastAsia" w:ascii="仿宋_GB2312" w:hAnsi="仿宋" w:eastAsia="仿宋_GB2312" w:cs="Times New Roman"/>
          <w:sz w:val="32"/>
          <w:szCs w:val="32"/>
          <w:lang w:eastAsia="zh-CN" w:bidi="ar"/>
        </w:rPr>
        <w:t>抽查比例，</w:t>
      </w:r>
      <w:r>
        <w:rPr>
          <w:rFonts w:hint="eastAsia" w:ascii="仿宋_GB2312" w:hAnsi="仿宋" w:eastAsia="仿宋_GB2312" w:cs="Times New Roman"/>
          <w:bCs w:val="0"/>
          <w:sz w:val="32"/>
          <w:szCs w:val="32"/>
          <w:lang w:bidi="ar"/>
        </w:rPr>
        <w:t>对</w:t>
      </w:r>
      <w:r>
        <w:rPr>
          <w:rFonts w:hint="eastAsia" w:ascii="仿宋_GB2312" w:hAnsi="仿宋" w:eastAsia="仿宋_GB2312" w:cs="Times New Roman"/>
          <w:sz w:val="32"/>
          <w:szCs w:val="32"/>
          <w:lang w:bidi="ar"/>
        </w:rPr>
        <w:t>443间生</w:t>
      </w:r>
      <w:r>
        <w:rPr>
          <w:rFonts w:hint="eastAsia" w:ascii="仿宋_GB2312" w:hAnsi="仿宋_GB2312" w:eastAsia="仿宋_GB2312" w:cs="仿宋_GB2312"/>
          <w:kern w:val="0"/>
          <w:sz w:val="32"/>
          <w:szCs w:val="32"/>
          <w:lang w:val="en-US" w:eastAsia="zh-CN" w:bidi="ar"/>
        </w:rPr>
        <w:t>活美容场所开展监督检检。其中，抽检合格单位433家，不合格单位10家，</w:t>
      </w:r>
      <w:r>
        <w:rPr>
          <w:rFonts w:hint="eastAsia" w:ascii="仿宋_GB2312" w:hAnsi="仿宋" w:eastAsia="仿宋_GB2312" w:cs="Times New Roman"/>
          <w:sz w:val="32"/>
          <w:szCs w:val="32"/>
          <w:lang w:bidi="ar"/>
        </w:rPr>
        <w:t>责令限期整改单位12家，行政处罚案件10宗。</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 w:eastAsia="仿宋_GB2312" w:cs="Times New Roman"/>
          <w:sz w:val="32"/>
          <w:szCs w:val="32"/>
          <w:lang w:val="en-US" w:eastAsia="zh-CN" w:bidi="ar"/>
        </w:rPr>
      </w:pPr>
      <w:r>
        <w:rPr>
          <w:rFonts w:hint="eastAsia" w:ascii="仿宋_GB2312" w:hAnsi="仿宋" w:eastAsia="仿宋_GB2312" w:cs="Times New Roman"/>
          <w:sz w:val="32"/>
          <w:szCs w:val="32"/>
          <w:lang w:val="en-US" w:eastAsia="zh-CN" w:bidi="ar"/>
        </w:rPr>
        <w:t>下一步，我市将探索联合行业协会建立高效便捷的生活美容消费纠纷多元化解机制，</w:t>
      </w:r>
      <w:r>
        <w:rPr>
          <w:rFonts w:hint="default" w:ascii="仿宋_GB2312" w:hAnsi="仿宋" w:eastAsia="仿宋_GB2312" w:cs="Times New Roman"/>
          <w:sz w:val="32"/>
          <w:szCs w:val="32"/>
          <w:lang w:eastAsia="zh-CN" w:bidi="ar"/>
        </w:rPr>
        <w:t>进一步</w:t>
      </w:r>
      <w:r>
        <w:rPr>
          <w:rFonts w:hint="eastAsia" w:ascii="仿宋_GB2312" w:hAnsi="仿宋" w:eastAsia="仿宋_GB2312" w:cs="Times New Roman"/>
          <w:sz w:val="32"/>
          <w:szCs w:val="32"/>
          <w:lang w:val="en-US" w:eastAsia="zh-CN" w:bidi="ar"/>
        </w:rPr>
        <w:t>明晰责任，降低消费者维权成本和时间。</w:t>
      </w:r>
    </w:p>
    <w:p>
      <w:pPr>
        <w:pStyle w:val="9"/>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二、关于“发挥行业协会自律作用”的建议</w:t>
      </w:r>
    </w:p>
    <w:p>
      <w:pPr>
        <w:pStyle w:val="9"/>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 w:eastAsia="仿宋_GB2312" w:cs="Times New Roman"/>
          <w:i w:val="0"/>
          <w:iCs w:val="0"/>
          <w:caps w:val="0"/>
          <w:spacing w:val="0"/>
          <w:kern w:val="2"/>
          <w:sz w:val="32"/>
          <w:szCs w:val="32"/>
          <w:shd w:val="clear" w:color="auto" w:fill="auto"/>
          <w:lang w:val="en-US" w:eastAsia="zh-CN" w:bidi="ar"/>
        </w:rPr>
      </w:pPr>
      <w:r>
        <w:rPr>
          <w:rFonts w:hint="eastAsia" w:ascii="仿宋_GB2312" w:hAnsi="仿宋" w:eastAsia="仿宋_GB2312" w:cs="Times New Roman"/>
          <w:i w:val="0"/>
          <w:iCs w:val="0"/>
          <w:caps w:val="0"/>
          <w:spacing w:val="0"/>
          <w:kern w:val="2"/>
          <w:sz w:val="32"/>
          <w:szCs w:val="32"/>
          <w:shd w:val="clear" w:color="auto" w:fill="auto"/>
          <w:lang w:val="en-US" w:eastAsia="zh-CN" w:bidi="ar"/>
        </w:rPr>
        <w:t>市商务局充分发挥协会职能作用，鼓励生活美容领域商协会做优做强，指导行业协会牵头或参与制定地方性的美容美发服务标准、操作规程、卫生规范、技师等级评定标准等，为行业提供统一、可操作的行为准则，2025年1月6日制定发布深圳地方标准《美发美容美妆服务规范》。同时鼓励行业商协会积极举办大型行业性展销会、峰会、创新创业大赛、业务交流会等各类活动，搭建行业协会商会学习交流平台，促进行业协会商会经验交流、能力提升。如6月20日，市美发美容美妆行业协会联合香港、澳门、广州、珠海等美协主办大湾区2025年度“金梧桐奖”-第四届美业“破局 聚势 共荣”高质量持续发展大会；7月23日，市美发美容美妆行业协会与福田区人力资源保障局、福田区总工会联合承办“匠心筑梦 技赢未来”深圳市第十五届职工技术创新运动会暨2025年深圳技能大赛。</w:t>
      </w:r>
    </w:p>
    <w:p>
      <w:pPr>
        <w:pStyle w:val="9"/>
        <w:keepNext w:val="0"/>
        <w:keepLines w:val="0"/>
        <w:pageBreakBefore w:val="0"/>
        <w:kinsoku/>
        <w:wordWrap/>
        <w:overflowPunct/>
        <w:topLinePunct w:val="0"/>
        <w:autoSpaceDE/>
        <w:autoSpaceDN/>
        <w:bidi w:val="0"/>
        <w:adjustRightInd/>
        <w:snapToGrid/>
        <w:spacing w:line="520" w:lineRule="exact"/>
        <w:textAlignment w:val="auto"/>
        <w:rPr>
          <w:rFonts w:hint="default" w:ascii="仿宋_GB2312" w:hAnsi="仿宋" w:eastAsia="仿宋_GB2312" w:cs="Times New Roman"/>
          <w:i w:val="0"/>
          <w:iCs w:val="0"/>
          <w:caps w:val="0"/>
          <w:spacing w:val="0"/>
          <w:kern w:val="2"/>
          <w:sz w:val="32"/>
          <w:szCs w:val="32"/>
          <w:shd w:val="clear" w:color="auto" w:fill="auto"/>
          <w:lang w:val="en-US" w:eastAsia="zh-CN" w:bidi="ar"/>
        </w:rPr>
      </w:pPr>
      <w:r>
        <w:rPr>
          <w:rFonts w:hint="eastAsia" w:ascii="仿宋_GB2312" w:hAnsi="仿宋" w:eastAsia="仿宋_GB2312" w:cs="Times New Roman"/>
          <w:i w:val="0"/>
          <w:iCs w:val="0"/>
          <w:caps w:val="0"/>
          <w:spacing w:val="0"/>
          <w:kern w:val="2"/>
          <w:sz w:val="32"/>
          <w:szCs w:val="32"/>
          <w:shd w:val="clear" w:color="auto" w:fill="auto"/>
          <w:lang w:val="en-US" w:eastAsia="zh-CN" w:bidi="ar"/>
        </w:rPr>
        <w:t>下一步，我市将继续积极支持行业协会牵头制定、修订国家标准、地方标准、团体标准以及服务合同示范文本，推动行业协会建立会员单位信用档案，搭建行业自律监督平台，强化行业协会自律引领作用。</w:t>
      </w:r>
    </w:p>
    <w:p>
      <w:pPr>
        <w:pStyle w:val="9"/>
        <w:keepNext w:val="0"/>
        <w:keepLines w:val="0"/>
        <w:pageBreakBefore w:val="0"/>
        <w:kinsoku/>
        <w:wordWrap/>
        <w:overflowPunct/>
        <w:topLinePunct w:val="0"/>
        <w:autoSpaceDE/>
        <w:autoSpaceDN/>
        <w:bidi w:val="0"/>
        <w:adjustRightInd/>
        <w:snapToGrid/>
        <w:spacing w:line="52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三、关于“压实机构依法诚信执业主体责任”的建议</w:t>
      </w:r>
    </w:p>
    <w:p>
      <w:pPr>
        <w:pStyle w:val="2"/>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 w:eastAsia="仿宋_GB2312" w:cs="Times New Roman"/>
          <w:b w:val="0"/>
          <w:bCs w:val="0"/>
          <w:i w:val="0"/>
          <w:iCs w:val="0"/>
          <w:caps w:val="0"/>
          <w:spacing w:val="0"/>
          <w:kern w:val="2"/>
          <w:sz w:val="32"/>
          <w:szCs w:val="32"/>
          <w:lang w:val="en-US" w:eastAsia="zh-CN" w:bidi="ar-SA"/>
        </w:rPr>
      </w:pPr>
      <w:r>
        <w:rPr>
          <w:rFonts w:hint="eastAsia" w:ascii="仿宋_GB2312" w:hAnsi="仿宋" w:eastAsia="仿宋_GB2312" w:cs="Times New Roman"/>
          <w:b w:val="0"/>
          <w:bCs w:val="0"/>
          <w:kern w:val="2"/>
          <w:sz w:val="32"/>
          <w:szCs w:val="32"/>
          <w:lang w:val="en-US" w:eastAsia="zh-CN" w:bidi="ar-SA"/>
        </w:rPr>
        <w:t>为进一步压实生活美容机构依法诚信执业的主体责任，</w:t>
      </w:r>
      <w:r>
        <w:rPr>
          <w:rFonts w:hint="eastAsia" w:ascii="仿宋_GB2312" w:hAnsi="仿宋" w:eastAsia="仿宋_GB2312" w:cs="Times New Roman"/>
          <w:b w:val="0"/>
          <w:bCs w:val="0"/>
          <w:i w:val="0"/>
          <w:iCs w:val="0"/>
          <w:caps w:val="0"/>
          <w:color w:val="000000"/>
          <w:spacing w:val="0"/>
          <w:kern w:val="2"/>
          <w:sz w:val="32"/>
          <w:szCs w:val="32"/>
          <w:lang w:val="en-US" w:eastAsia="zh-CN" w:bidi="ar-SA"/>
        </w:rPr>
        <w:t>提升我市</w:t>
      </w:r>
      <w:r>
        <w:rPr>
          <w:rFonts w:hint="eastAsia" w:ascii="仿宋_GB2312" w:hAnsi="仿宋" w:eastAsia="仿宋_GB2312" w:cs="Times New Roman"/>
          <w:b w:val="0"/>
          <w:bCs w:val="0"/>
          <w:kern w:val="2"/>
          <w:sz w:val="32"/>
          <w:szCs w:val="32"/>
          <w:lang w:val="en-US" w:eastAsia="zh-CN" w:bidi="ar-SA"/>
        </w:rPr>
        <w:t>生活美容机构等</w:t>
      </w:r>
      <w:r>
        <w:rPr>
          <w:rFonts w:hint="eastAsia" w:ascii="仿宋_GB2312" w:hAnsi="仿宋" w:eastAsia="仿宋_GB2312" w:cs="Times New Roman"/>
          <w:b w:val="0"/>
          <w:bCs w:val="0"/>
          <w:i w:val="0"/>
          <w:iCs w:val="0"/>
          <w:caps w:val="0"/>
          <w:color w:val="000000"/>
          <w:spacing w:val="0"/>
          <w:kern w:val="2"/>
          <w:sz w:val="32"/>
          <w:szCs w:val="32"/>
          <w:lang w:val="en-US" w:eastAsia="zh-CN" w:bidi="ar-SA"/>
        </w:rPr>
        <w:t>公共场所卫生环境</w:t>
      </w:r>
      <w:r>
        <w:rPr>
          <w:rFonts w:hint="eastAsia" w:ascii="仿宋_GB2312" w:hAnsi="仿宋" w:eastAsia="仿宋_GB2312" w:cs="Times New Roman"/>
          <w:b w:val="0"/>
          <w:bCs w:val="0"/>
          <w:i w:val="0"/>
          <w:iCs w:val="0"/>
          <w:caps w:val="0"/>
          <w:spacing w:val="0"/>
          <w:kern w:val="2"/>
          <w:sz w:val="32"/>
          <w:szCs w:val="32"/>
          <w:lang w:val="en-US" w:eastAsia="zh-CN" w:bidi="ar-SA"/>
        </w:rPr>
        <w:t>，</w:t>
      </w:r>
      <w:r>
        <w:rPr>
          <w:rFonts w:hint="eastAsia" w:ascii="仿宋_GB2312" w:hAnsi="仿宋" w:eastAsia="仿宋_GB2312" w:cs="Times New Roman"/>
          <w:b w:val="0"/>
          <w:bCs w:val="0"/>
          <w:sz w:val="32"/>
          <w:szCs w:val="32"/>
          <w:lang w:val="en-US" w:eastAsia="zh-CN"/>
        </w:rPr>
        <w:t>市卫生健康委</w:t>
      </w:r>
      <w:r>
        <w:rPr>
          <w:rFonts w:hint="eastAsia" w:ascii="仿宋_GB2312" w:hAnsi="仿宋" w:eastAsia="仿宋_GB2312" w:cs="Times New Roman"/>
          <w:b w:val="0"/>
          <w:bCs w:val="0"/>
          <w:i w:val="0"/>
          <w:iCs w:val="0"/>
          <w:caps w:val="0"/>
          <w:spacing w:val="0"/>
          <w:kern w:val="2"/>
          <w:sz w:val="32"/>
          <w:szCs w:val="32"/>
          <w:lang w:val="en-US" w:eastAsia="zh-CN" w:bidi="ar-SA"/>
        </w:rPr>
        <w:t>对全市公共场所</w:t>
      </w:r>
      <w:r>
        <w:rPr>
          <w:rFonts w:ascii="仿宋_GB2312" w:hAnsi="仿宋" w:eastAsia="仿宋_GB2312" w:cs="Times New Roman"/>
          <w:b w:val="0"/>
          <w:bCs w:val="0"/>
          <w:i w:val="0"/>
          <w:iCs w:val="0"/>
          <w:caps w:val="0"/>
          <w:color w:val="000000"/>
          <w:spacing w:val="0"/>
          <w:kern w:val="2"/>
          <w:sz w:val="32"/>
          <w:szCs w:val="32"/>
          <w:lang w:val="en-US" w:eastAsia="zh-CN" w:bidi="ar-SA"/>
        </w:rPr>
        <w:t>开展了量化分级评审工作</w:t>
      </w:r>
      <w:r>
        <w:rPr>
          <w:rFonts w:hint="eastAsia" w:ascii="仿宋_GB2312" w:hAnsi="仿宋" w:eastAsia="仿宋_GB2312" w:cs="Times New Roman"/>
          <w:b w:val="0"/>
          <w:bCs w:val="0"/>
          <w:i w:val="0"/>
          <w:iCs w:val="0"/>
          <w:caps w:val="0"/>
          <w:color w:val="000000"/>
          <w:spacing w:val="0"/>
          <w:kern w:val="2"/>
          <w:sz w:val="32"/>
          <w:szCs w:val="32"/>
          <w:lang w:val="en-US" w:eastAsia="zh-CN" w:bidi="ar-SA"/>
        </w:rPr>
        <w:t>，其中</w:t>
      </w:r>
      <w:r>
        <w:rPr>
          <w:rFonts w:ascii="仿宋_GB2312" w:hAnsi="仿宋" w:eastAsia="仿宋_GB2312" w:cs="Times New Roman"/>
          <w:b w:val="0"/>
          <w:bCs w:val="0"/>
          <w:i w:val="0"/>
          <w:iCs w:val="0"/>
          <w:caps w:val="0"/>
          <w:color w:val="000000"/>
          <w:spacing w:val="0"/>
          <w:kern w:val="2"/>
          <w:sz w:val="32"/>
          <w:szCs w:val="32"/>
          <w:lang w:val="en-US" w:eastAsia="zh-CN" w:bidi="ar-SA"/>
        </w:rPr>
        <w:t>美容美发场所共评审13054家：A级单位11家，占0.08%；B级单位4385家，占33.59%；C级单位8658家，占66.33%。</w:t>
      </w:r>
      <w:r>
        <w:rPr>
          <w:rFonts w:hint="eastAsia" w:ascii="仿宋_GB2312" w:hAnsi="仿宋" w:eastAsia="仿宋_GB2312" w:cs="Times New Roman"/>
          <w:b w:val="0"/>
          <w:bCs w:val="0"/>
          <w:i w:val="0"/>
          <w:iCs w:val="0"/>
          <w:caps w:val="0"/>
          <w:color w:val="000000"/>
          <w:spacing w:val="0"/>
          <w:kern w:val="2"/>
          <w:sz w:val="32"/>
          <w:szCs w:val="32"/>
          <w:lang w:val="en-US" w:eastAsia="zh-CN" w:bidi="ar-SA"/>
        </w:rPr>
        <w:t>2025年4月23日，</w:t>
      </w:r>
      <w:r>
        <w:rPr>
          <w:rFonts w:hint="eastAsia" w:ascii="仿宋_GB2312" w:hAnsi="仿宋" w:eastAsia="仿宋_GB2312" w:cs="Times New Roman"/>
          <w:b w:val="0"/>
          <w:bCs w:val="0"/>
          <w:sz w:val="32"/>
          <w:szCs w:val="32"/>
          <w:lang w:val="en-US" w:eastAsia="zh-CN"/>
        </w:rPr>
        <w:t>市卫生健康委</w:t>
      </w:r>
      <w:r>
        <w:rPr>
          <w:rFonts w:hint="eastAsia" w:ascii="仿宋_GB2312" w:hAnsi="仿宋" w:eastAsia="仿宋_GB2312" w:cs="Times New Roman"/>
          <w:b w:val="0"/>
          <w:bCs w:val="0"/>
          <w:i w:val="0"/>
          <w:iCs w:val="0"/>
          <w:caps w:val="0"/>
          <w:spacing w:val="0"/>
          <w:kern w:val="2"/>
          <w:sz w:val="32"/>
          <w:szCs w:val="32"/>
          <w:lang w:val="en-US" w:eastAsia="zh-CN" w:bidi="ar-SA"/>
        </w:rPr>
        <w:t>发布</w:t>
      </w:r>
      <w:r>
        <w:rPr>
          <w:rFonts w:hint="eastAsia" w:ascii="仿宋_GB2312" w:hAnsi="仿宋" w:eastAsia="仿宋_GB2312" w:cs="Times New Roman"/>
          <w:b w:val="0"/>
          <w:bCs w:val="0"/>
          <w:i w:val="0"/>
          <w:iCs w:val="0"/>
          <w:caps w:val="0"/>
          <w:color w:val="000000"/>
          <w:spacing w:val="0"/>
          <w:kern w:val="2"/>
          <w:sz w:val="32"/>
          <w:szCs w:val="32"/>
          <w:lang w:val="en-US" w:eastAsia="zh-CN" w:bidi="ar-SA"/>
        </w:rPr>
        <w:t>《</w:t>
      </w:r>
      <w:r>
        <w:rPr>
          <w:rFonts w:hint="eastAsia" w:ascii="仿宋_GB2312" w:hAnsi="仿宋" w:eastAsia="仿宋_GB2312" w:cs="Times New Roman"/>
          <w:b w:val="0"/>
          <w:bCs w:val="0"/>
          <w:i w:val="0"/>
          <w:iCs w:val="0"/>
          <w:caps w:val="0"/>
          <w:color w:val="000000"/>
          <w:spacing w:val="0"/>
          <w:kern w:val="2"/>
          <w:sz w:val="32"/>
          <w:szCs w:val="32"/>
          <w:lang w:bidi="ar-SA"/>
        </w:rPr>
        <w:t>市卫生健康委关于2024年全市公共场所（不含游泳场所）卫生信誉度等级评审结果的通告</w:t>
      </w:r>
      <w:r>
        <w:rPr>
          <w:rFonts w:hint="eastAsia" w:ascii="仿宋_GB2312" w:hAnsi="仿宋" w:eastAsia="仿宋_GB2312" w:cs="Times New Roman"/>
          <w:b w:val="0"/>
          <w:bCs w:val="0"/>
          <w:i w:val="0"/>
          <w:iCs w:val="0"/>
          <w:caps w:val="0"/>
          <w:color w:val="000000"/>
          <w:spacing w:val="0"/>
          <w:kern w:val="2"/>
          <w:sz w:val="32"/>
          <w:szCs w:val="32"/>
          <w:lang w:val="en-US" w:eastAsia="zh-CN" w:bidi="ar-SA"/>
        </w:rPr>
        <w:t>》，</w:t>
      </w:r>
      <w:r>
        <w:rPr>
          <w:rFonts w:hint="eastAsia" w:ascii="仿宋_GB2312" w:hAnsi="仿宋" w:eastAsia="仿宋_GB2312" w:cs="Times New Roman"/>
          <w:b w:val="0"/>
          <w:bCs w:val="0"/>
          <w:i w:val="0"/>
          <w:iCs w:val="0"/>
          <w:caps w:val="0"/>
          <w:spacing w:val="0"/>
          <w:kern w:val="2"/>
          <w:sz w:val="32"/>
          <w:szCs w:val="32"/>
          <w:lang w:val="en-US" w:eastAsia="zh-CN" w:bidi="ar-SA"/>
        </w:rPr>
        <w:t>并在其官网进行公示，充分保障市民知情权和监督权。</w:t>
      </w:r>
    </w:p>
    <w:p>
      <w:pPr>
        <w:pStyle w:val="2"/>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default" w:ascii="黑体" w:hAnsi="黑体" w:eastAsia="黑体" w:cs="黑体"/>
          <w:sz w:val="32"/>
          <w:szCs w:val="32"/>
          <w:lang w:val="en-US" w:eastAsia="zh-CN"/>
        </w:rPr>
      </w:pPr>
      <w:r>
        <w:rPr>
          <w:rFonts w:hint="eastAsia" w:ascii="仿宋_GB2312" w:hAnsi="仿宋" w:eastAsia="仿宋_GB2312" w:cs="Times New Roman"/>
          <w:b w:val="0"/>
          <w:bCs w:val="0"/>
          <w:i w:val="0"/>
          <w:iCs w:val="0"/>
          <w:caps w:val="0"/>
          <w:spacing w:val="0"/>
          <w:kern w:val="2"/>
          <w:sz w:val="32"/>
          <w:szCs w:val="32"/>
          <w:lang w:val="en-US" w:eastAsia="zh-CN" w:bidi="ar-SA"/>
        </w:rPr>
        <w:t>下一步，我市将鼓励引导生活美容机构在经营场所显著位置及线上平台，以清晰、不易更改的方式公示所有服务项目、详细价格、服务时长、可能的风险及禁忌、使用产品信息、从业人员的资质证明。同时，建立市、区、街道三级协同治理体系，加强预付费经营模式监管，对高额预付费、频繁变更法人</w:t>
      </w:r>
      <w:r>
        <w:rPr>
          <w:rFonts w:hint="default" w:ascii="仿宋_GB2312" w:hAnsi="仿宋" w:eastAsia="仿宋_GB2312" w:cs="Times New Roman"/>
          <w:b w:val="0"/>
          <w:bCs w:val="0"/>
          <w:i w:val="0"/>
          <w:iCs w:val="0"/>
          <w:caps w:val="0"/>
          <w:spacing w:val="0"/>
          <w:kern w:val="2"/>
          <w:sz w:val="32"/>
          <w:szCs w:val="32"/>
          <w:lang w:eastAsia="zh-CN" w:bidi="ar-SA"/>
        </w:rPr>
        <w:t>或</w:t>
      </w:r>
      <w:r>
        <w:rPr>
          <w:rFonts w:hint="eastAsia" w:ascii="仿宋_GB2312" w:hAnsi="仿宋" w:eastAsia="仿宋_GB2312" w:cs="Times New Roman"/>
          <w:b w:val="0"/>
          <w:bCs w:val="0"/>
          <w:i w:val="0"/>
          <w:iCs w:val="0"/>
          <w:caps w:val="0"/>
          <w:spacing w:val="0"/>
          <w:kern w:val="2"/>
          <w:sz w:val="32"/>
          <w:szCs w:val="32"/>
          <w:lang w:val="en-US" w:eastAsia="zh-CN" w:bidi="ar-SA"/>
        </w:rPr>
        <w:t>经营者等异常行为进行重点监控和风险预警。</w:t>
      </w:r>
    </w:p>
    <w:p>
      <w:pPr>
        <w:pStyle w:val="9"/>
        <w:keepNext w:val="0"/>
        <w:keepLines w:val="0"/>
        <w:pageBreakBefore w:val="0"/>
        <w:kinsoku/>
        <w:wordWrap/>
        <w:overflowPunct/>
        <w:topLinePunct w:val="0"/>
        <w:autoSpaceDE/>
        <w:autoSpaceDN/>
        <w:bidi w:val="0"/>
        <w:adjustRightInd/>
        <w:snapToGrid/>
        <w:spacing w:line="52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四、关于“完善行业综合监管体系”的建议</w:t>
      </w:r>
    </w:p>
    <w:p>
      <w:pPr>
        <w:keepNext w:val="0"/>
        <w:keepLines w:val="0"/>
        <w:pageBreakBefore w:val="0"/>
        <w:kinsoku/>
        <w:wordWrap/>
        <w:overflowPunct/>
        <w:topLinePunct w:val="0"/>
        <w:autoSpaceDE/>
        <w:autoSpaceDN/>
        <w:bidi w:val="0"/>
        <w:adjustRightInd/>
        <w:snapToGrid/>
        <w:spacing w:line="520" w:lineRule="exact"/>
        <w:ind w:firstLine="642" w:firstLineChars="200"/>
        <w:jc w:val="left"/>
        <w:textAlignment w:val="auto"/>
        <w:rPr>
          <w:rFonts w:hint="eastAsia" w:ascii="仿宋_GB2312" w:hAnsi="仿宋" w:eastAsia="仿宋_GB2312" w:cs="Times New Roman"/>
          <w:b w:val="0"/>
          <w:bCs w:val="0"/>
          <w:sz w:val="32"/>
          <w:szCs w:val="32"/>
          <w:lang w:val="en-US" w:eastAsia="zh-CN"/>
        </w:rPr>
      </w:pPr>
      <w:r>
        <w:rPr>
          <w:rFonts w:hint="eastAsia" w:ascii="仿宋_GB2312" w:hAnsi="仿宋" w:eastAsia="仿宋_GB2312" w:cs="Times New Roman"/>
          <w:b/>
          <w:bCs/>
          <w:sz w:val="32"/>
          <w:szCs w:val="32"/>
          <w:lang w:val="en-US" w:eastAsia="zh-CN"/>
        </w:rPr>
        <w:t>一是</w:t>
      </w:r>
      <w:r>
        <w:rPr>
          <w:rFonts w:hint="eastAsia" w:ascii="仿宋_GB2312" w:hAnsi="仿宋" w:eastAsia="仿宋_GB2312" w:cs="Times New Roman"/>
          <w:b w:val="0"/>
          <w:bCs w:val="0"/>
          <w:sz w:val="32"/>
          <w:szCs w:val="32"/>
          <w:lang w:val="en-US" w:eastAsia="zh-CN"/>
        </w:rPr>
        <w:t>构建各部门监管信息的共享机制。目前从事生活美容业的经营主体办理商事登记，其经营范围可以根据全国统一的《经营范围规范表述目录（试行）》，选择使用“生活美容服务”的经营范围表述。深圳已实施“双告知”制度，即办理商事登记时，系统通过政务资源共享平台将其信息推送（告知）给相关许可审批部门，也同时通过信用信息平台、短信、书面等方式告知经营主体，提示经营主体办理许可审批后方可经营，从而达到登记和监管的有效衔接，有效推进宽进严管。</w:t>
      </w:r>
    </w:p>
    <w:p>
      <w:pPr>
        <w:keepNext w:val="0"/>
        <w:keepLines w:val="0"/>
        <w:pageBreakBefore w:val="0"/>
        <w:kinsoku/>
        <w:wordWrap/>
        <w:overflowPunct/>
        <w:topLinePunct w:val="0"/>
        <w:autoSpaceDE/>
        <w:autoSpaceDN/>
        <w:bidi w:val="0"/>
        <w:adjustRightInd/>
        <w:snapToGrid/>
        <w:spacing w:line="520" w:lineRule="exact"/>
        <w:ind w:firstLine="642" w:firstLineChars="200"/>
        <w:jc w:val="left"/>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b/>
          <w:bCs/>
          <w:sz w:val="32"/>
          <w:szCs w:val="32"/>
          <w:lang w:val="en-US" w:eastAsia="zh-CN"/>
        </w:rPr>
        <w:t>二是</w:t>
      </w:r>
      <w:r>
        <w:rPr>
          <w:rFonts w:hint="eastAsia" w:ascii="仿宋_GB2312" w:hAnsi="仿宋" w:eastAsia="仿宋_GB2312" w:cs="Times New Roman"/>
          <w:b w:val="0"/>
          <w:bCs w:val="0"/>
          <w:sz w:val="32"/>
          <w:szCs w:val="32"/>
          <w:lang w:val="en-US" w:eastAsia="zh-CN"/>
        </w:rPr>
        <w:t>加强生活美容机构无证行医的查处。市卫生健康委</w:t>
      </w:r>
      <w:r>
        <w:rPr>
          <w:rFonts w:hint="eastAsia" w:ascii="仿宋_GB2312" w:hAnsi="仿宋" w:eastAsia="仿宋_GB2312" w:cs="Times New Roman"/>
          <w:sz w:val="32"/>
          <w:szCs w:val="32"/>
          <w:lang w:val="en-US" w:eastAsia="zh-CN"/>
        </w:rPr>
        <w:t>联合市委网信办、市公安局、深圳海关、市市场监管局、市邮政管理局五部门印发《关于开展深圳市美容机构综合监管专项整治行动实施方案》，重点整治内容包括生活美容机构非法行医、无证照经营美容场所、医疗美容机构欺诈等违法行为。专项整治期间，全市共出动卫生监督执法人员11528人次，出动4303车次，检查生活美容场所2690间。同时加强与市场监管部门的信息互通与业务协同，全面梳理全市合法注册登记的生活美容机构商事主体名单约650家，建立完善了生活美容机构无证行医违法线索移送机制。2025年市卫生健康委印发《2025年深圳市打击无证行医工作实施方案》，要求全市各级卫生健康行政部门持续严厉打击无证行医，保持高压监管态势。</w:t>
      </w:r>
    </w:p>
    <w:p>
      <w:pPr>
        <w:keepNext w:val="0"/>
        <w:keepLines w:val="0"/>
        <w:pageBreakBefore w:val="0"/>
        <w:kinsoku/>
        <w:wordWrap/>
        <w:overflowPunct/>
        <w:topLinePunct w:val="0"/>
        <w:autoSpaceDE/>
        <w:autoSpaceDN/>
        <w:bidi w:val="0"/>
        <w:adjustRightInd/>
        <w:snapToGrid/>
        <w:spacing w:line="520" w:lineRule="exact"/>
        <w:ind w:firstLine="642" w:firstLineChars="200"/>
        <w:jc w:val="left"/>
        <w:textAlignment w:val="auto"/>
        <w:rPr>
          <w:rFonts w:hint="eastAsia" w:ascii="仿宋_GB2312" w:hAnsi="仿宋" w:eastAsia="仿宋_GB2312" w:cs="Times New Roman"/>
          <w:spacing w:val="0"/>
          <w:sz w:val="32"/>
          <w:szCs w:val="32"/>
          <w:lang w:eastAsia="zh-CN" w:bidi="ar"/>
        </w:rPr>
      </w:pPr>
      <w:r>
        <w:rPr>
          <w:rFonts w:hint="eastAsia" w:ascii="仿宋_GB2312" w:hAnsi="仿宋" w:eastAsia="仿宋_GB2312" w:cs="Times New Roman"/>
          <w:b/>
          <w:bCs/>
          <w:sz w:val="32"/>
          <w:szCs w:val="32"/>
          <w:lang w:val="en-US" w:eastAsia="zh-CN"/>
        </w:rPr>
        <w:t>三是</w:t>
      </w:r>
      <w:r>
        <w:rPr>
          <w:rFonts w:hint="eastAsia" w:ascii="仿宋_GB2312" w:hAnsi="仿宋" w:eastAsia="仿宋_GB2312" w:cs="Times New Roman"/>
          <w:sz w:val="32"/>
          <w:szCs w:val="32"/>
          <w:lang w:val="en-US" w:eastAsia="zh-CN"/>
        </w:rPr>
        <w:t>建立多部门共同参与的医疗卫生综合监管机制。深圳市医疗卫生行业综合监管工作领导小组印发《关于明确领导小组工作机制的通知》（深医综管〔2020〕1号），建立深圳市医疗卫生部门综合监管协同机制，由分管副市长担任组长，市卫生健康委、市发展改革委、市公安局等8部门和各区政府（管委会）为成员单位。2024年12月，根据深圳市委、市政府规范议事协调机构的有关文件精神和要求，深圳市医疗卫生行业综合监管领导小组调整为深圳市医疗卫生行业综合监管联席会议，对成员单位及职责分工进一步调整，成员单位增至26部门和各区政府（管委会），同时明确了责任清单、信息共享、协同联动、督导通报等工作机制。</w:t>
      </w: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eastAsia" w:cs="仿宋_GB2312"/>
          <w:sz w:val="32"/>
          <w:szCs w:val="32"/>
          <w:lang w:eastAsia="zh-CN"/>
        </w:rPr>
      </w:pPr>
      <w:r>
        <w:rPr>
          <w:rFonts w:hint="eastAsia" w:cs="仿宋_GB2312"/>
          <w:sz w:val="32"/>
          <w:szCs w:val="32"/>
          <w:lang w:val="en-US" w:eastAsia="zh-CN"/>
        </w:rPr>
        <w:t>下一步，我市</w:t>
      </w:r>
      <w:r>
        <w:rPr>
          <w:rFonts w:hint="eastAsia" w:cs="仿宋_GB2312"/>
          <w:sz w:val="32"/>
          <w:szCs w:val="32"/>
          <w:lang w:eastAsia="zh-CN"/>
        </w:rPr>
        <w:t>将通过试点普法前移、对新证单位开展回访、健全行业通报机制等多种方式，综合施策，进一步加强对生活美容机构的公共卫生监督管理，从源头上预防因公共卫生问题引发纠纷争议。</w:t>
      </w: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eastAsia" w:cs="仿宋_GB2312"/>
          <w:sz w:val="32"/>
          <w:szCs w:val="32"/>
          <w:lang w:eastAsia="zh-CN"/>
        </w:rPr>
      </w:pPr>
      <w:r>
        <w:rPr>
          <w:rFonts w:hint="eastAsia" w:cs="仿宋_GB2312"/>
          <w:sz w:val="32"/>
          <w:szCs w:val="32"/>
          <w:lang w:eastAsia="zh-CN"/>
        </w:rPr>
        <w:t>专此答复。</w:t>
      </w: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eastAsia" w:cs="仿宋_GB2312"/>
          <w:sz w:val="32"/>
          <w:szCs w:val="32"/>
          <w:lang w:eastAsia="zh-CN"/>
        </w:rPr>
      </w:pP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eastAsia" w:cs="仿宋_GB2312"/>
          <w:sz w:val="32"/>
          <w:szCs w:val="32"/>
          <w:lang w:eastAsia="zh-CN"/>
        </w:rPr>
      </w:pP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default" w:cs="仿宋_GB2312"/>
          <w:sz w:val="32"/>
          <w:szCs w:val="32"/>
          <w:lang w:eastAsia="zh-CN"/>
        </w:rPr>
      </w:pPr>
      <w:r>
        <w:rPr>
          <w:rFonts w:hint="default" w:cs="仿宋_GB2312"/>
          <w:sz w:val="32"/>
          <w:szCs w:val="32"/>
          <w:lang w:eastAsia="zh-CN"/>
        </w:rPr>
        <w:t xml:space="preserve">     </w:t>
      </w:r>
      <w:r>
        <w:rPr>
          <w:rFonts w:hint="default" w:cs="仿宋_GB2312"/>
          <w:sz w:val="32"/>
          <w:szCs w:val="32"/>
          <w:lang w:val="en-US" w:eastAsia="zh-CN"/>
        </w:rPr>
        <w:t xml:space="preserve"> </w:t>
      </w:r>
      <w:r>
        <w:rPr>
          <w:rFonts w:hint="default" w:cs="仿宋_GB2312"/>
          <w:sz w:val="32"/>
          <w:szCs w:val="32"/>
          <w:lang w:eastAsia="zh-CN"/>
        </w:rPr>
        <w:t xml:space="preserve">                          深圳市商务局</w:t>
      </w: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default" w:cs="仿宋_GB2312"/>
          <w:sz w:val="32"/>
          <w:szCs w:val="32"/>
          <w:lang w:eastAsia="zh-CN"/>
        </w:rPr>
      </w:pPr>
      <w:r>
        <w:rPr>
          <w:rFonts w:hint="default" w:cs="仿宋_GB2312"/>
          <w:sz w:val="32"/>
          <w:szCs w:val="32"/>
          <w:lang w:eastAsia="zh-CN"/>
        </w:rPr>
        <w:t xml:space="preserve">         </w:t>
      </w:r>
      <w:r>
        <w:rPr>
          <w:rFonts w:hint="default" w:cs="仿宋_GB2312"/>
          <w:sz w:val="32"/>
          <w:szCs w:val="32"/>
          <w:lang w:val="en-US" w:eastAsia="zh-CN"/>
        </w:rPr>
        <w:t xml:space="preserve"> </w:t>
      </w:r>
      <w:r>
        <w:rPr>
          <w:rFonts w:hint="default" w:cs="仿宋_GB2312"/>
          <w:sz w:val="32"/>
          <w:szCs w:val="32"/>
          <w:lang w:eastAsia="zh-CN"/>
        </w:rPr>
        <w:t xml:space="preserve">                     2025年</w:t>
      </w:r>
      <w:r>
        <w:rPr>
          <w:rFonts w:hint="eastAsia" w:cs="仿宋_GB2312"/>
          <w:sz w:val="32"/>
          <w:szCs w:val="32"/>
          <w:lang w:val="en-US" w:eastAsia="zh-CN"/>
        </w:rPr>
        <w:t>8</w:t>
      </w:r>
      <w:r>
        <w:rPr>
          <w:rFonts w:hint="default" w:cs="仿宋_GB2312"/>
          <w:sz w:val="32"/>
          <w:szCs w:val="32"/>
          <w:lang w:eastAsia="zh-CN"/>
        </w:rPr>
        <w:t>月</w:t>
      </w:r>
      <w:r>
        <w:rPr>
          <w:rFonts w:hint="default" w:cs="仿宋_GB2312"/>
          <w:sz w:val="32"/>
          <w:szCs w:val="32"/>
          <w:lang w:val="en-US" w:eastAsia="zh-CN"/>
        </w:rPr>
        <w:t>8</w:t>
      </w:r>
      <w:r>
        <w:rPr>
          <w:rFonts w:hint="default" w:cs="仿宋_GB2312"/>
          <w:sz w:val="32"/>
          <w:szCs w:val="32"/>
          <w:lang w:eastAsia="zh-CN"/>
        </w:rPr>
        <w:t>日</w:t>
      </w:r>
    </w:p>
    <w:p>
      <w:pPr>
        <w:pStyle w:val="15"/>
        <w:keepNext w:val="0"/>
        <w:keepLines w:val="0"/>
        <w:pageBreakBefore w:val="0"/>
        <w:kinsoku/>
        <w:wordWrap/>
        <w:overflowPunct/>
        <w:topLinePunct w:val="0"/>
        <w:autoSpaceDE/>
        <w:autoSpaceDN/>
        <w:bidi w:val="0"/>
        <w:adjustRightInd/>
        <w:snapToGrid/>
        <w:spacing w:line="520" w:lineRule="exact"/>
        <w:ind w:firstLine="640"/>
        <w:textAlignment w:val="auto"/>
        <w:rPr>
          <w:rFonts w:hint="default" w:cs="仿宋_GB2312"/>
          <w:sz w:val="32"/>
          <w:szCs w:val="32"/>
          <w:lang w:eastAsia="zh-CN"/>
        </w:rPr>
      </w:pPr>
    </w:p>
    <w:p>
      <w:pPr>
        <w:keepNext w:val="0"/>
        <w:keepLines w:val="0"/>
        <w:pageBreakBefore w:val="0"/>
        <w:widowControl w:val="0"/>
        <w:suppressLineNumbers w:val="0"/>
        <w:tabs>
          <w:tab w:val="left" w:pos="1843"/>
        </w:tabs>
        <w:kinsoku/>
        <w:wordWrap/>
        <w:overflowPunct/>
        <w:topLinePunct w:val="0"/>
        <w:autoSpaceDE/>
        <w:autoSpaceDN/>
        <w:bidi w:val="0"/>
        <w:adjustRightInd w:val="0"/>
        <w:snapToGrid w:val="0"/>
        <w:spacing w:line="520" w:lineRule="exact"/>
        <w:ind w:right="0" w:firstLine="0" w:firstLineChars="0"/>
        <w:jc w:val="left"/>
        <w:textAlignment w:val="auto"/>
        <w:rPr>
          <w:rFonts w:hint="eastAsia" w:ascii="黑体" w:hAnsi="黑体" w:eastAsia="黑体" w:cs="黑体"/>
          <w:sz w:val="32"/>
          <w:szCs w:val="32"/>
          <w:lang w:val="en-US" w:eastAsia="zh-CN"/>
        </w:rPr>
      </w:pPr>
      <w:bookmarkStart w:id="0" w:name="_GoBack"/>
      <w:bookmarkEnd w:id="0"/>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auto"/>
    <w:pitch w:val="default"/>
    <w:sig w:usb0="00000000" w:usb1="00000000"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775CE7"/>
    <w:rsid w:val="010740A3"/>
    <w:rsid w:val="11276C93"/>
    <w:rsid w:val="16906A90"/>
    <w:rsid w:val="1CDB6B83"/>
    <w:rsid w:val="1FF773A0"/>
    <w:rsid w:val="20203A71"/>
    <w:rsid w:val="24F609FE"/>
    <w:rsid w:val="2DA74F8B"/>
    <w:rsid w:val="2F656EAC"/>
    <w:rsid w:val="2FFD34D6"/>
    <w:rsid w:val="315E1E05"/>
    <w:rsid w:val="32EE0F67"/>
    <w:rsid w:val="36FFC916"/>
    <w:rsid w:val="375F1868"/>
    <w:rsid w:val="37BD3D18"/>
    <w:rsid w:val="37FFE74F"/>
    <w:rsid w:val="38775CE7"/>
    <w:rsid w:val="39777E72"/>
    <w:rsid w:val="3A1919F5"/>
    <w:rsid w:val="3D5BA522"/>
    <w:rsid w:val="3EEF9D22"/>
    <w:rsid w:val="3F71C4F1"/>
    <w:rsid w:val="3FAF4DC8"/>
    <w:rsid w:val="3FBE3583"/>
    <w:rsid w:val="3FDF58DD"/>
    <w:rsid w:val="408A203E"/>
    <w:rsid w:val="42872E65"/>
    <w:rsid w:val="48362342"/>
    <w:rsid w:val="4E1E674C"/>
    <w:rsid w:val="4ECF3EEA"/>
    <w:rsid w:val="4F5DDD4A"/>
    <w:rsid w:val="4F820F5D"/>
    <w:rsid w:val="53EC3DC5"/>
    <w:rsid w:val="55E53FF3"/>
    <w:rsid w:val="57F624E8"/>
    <w:rsid w:val="57FFB170"/>
    <w:rsid w:val="5B9F8DFE"/>
    <w:rsid w:val="5BE30FD5"/>
    <w:rsid w:val="5DEBBB11"/>
    <w:rsid w:val="5FCA1A7A"/>
    <w:rsid w:val="5FFFB100"/>
    <w:rsid w:val="608D2150"/>
    <w:rsid w:val="63F57AF7"/>
    <w:rsid w:val="65C866FD"/>
    <w:rsid w:val="66FF94B6"/>
    <w:rsid w:val="6BDDAD80"/>
    <w:rsid w:val="6BDF2BF7"/>
    <w:rsid w:val="6CD911D9"/>
    <w:rsid w:val="6DF131AA"/>
    <w:rsid w:val="6E5FD632"/>
    <w:rsid w:val="6EDF42A2"/>
    <w:rsid w:val="6F79613A"/>
    <w:rsid w:val="6F7B602D"/>
    <w:rsid w:val="6F7F0C40"/>
    <w:rsid w:val="6FD35191"/>
    <w:rsid w:val="6FFF10EF"/>
    <w:rsid w:val="70681E7A"/>
    <w:rsid w:val="70ED2282"/>
    <w:rsid w:val="71FBFAFF"/>
    <w:rsid w:val="71FFF060"/>
    <w:rsid w:val="73D5720C"/>
    <w:rsid w:val="73D75FB2"/>
    <w:rsid w:val="767E572A"/>
    <w:rsid w:val="77F757C9"/>
    <w:rsid w:val="77FDF713"/>
    <w:rsid w:val="799BA89A"/>
    <w:rsid w:val="7A6F438F"/>
    <w:rsid w:val="7BCC436D"/>
    <w:rsid w:val="7BF9D4FE"/>
    <w:rsid w:val="7D5FC6A6"/>
    <w:rsid w:val="7DFF48F8"/>
    <w:rsid w:val="7E16032D"/>
    <w:rsid w:val="7E65994D"/>
    <w:rsid w:val="7F75CA5D"/>
    <w:rsid w:val="7FDE98C8"/>
    <w:rsid w:val="7FEBDE2D"/>
    <w:rsid w:val="7FF4F036"/>
    <w:rsid w:val="827DD4B7"/>
    <w:rsid w:val="97FBB0A5"/>
    <w:rsid w:val="9D7FCF38"/>
    <w:rsid w:val="B3CFD10B"/>
    <w:rsid w:val="B3FD1947"/>
    <w:rsid w:val="B5FF9496"/>
    <w:rsid w:val="B89ECEB6"/>
    <w:rsid w:val="BBFFB19E"/>
    <w:rsid w:val="BCF39B22"/>
    <w:rsid w:val="BF5EC4CF"/>
    <w:rsid w:val="C5FD2F79"/>
    <w:rsid w:val="CFF27AB7"/>
    <w:rsid w:val="D7BFF404"/>
    <w:rsid w:val="D7EAB981"/>
    <w:rsid w:val="DF268D98"/>
    <w:rsid w:val="DF7E267C"/>
    <w:rsid w:val="DF7FBDCB"/>
    <w:rsid w:val="DF9F8DD0"/>
    <w:rsid w:val="DFEB6966"/>
    <w:rsid w:val="E43FE952"/>
    <w:rsid w:val="E67E458C"/>
    <w:rsid w:val="EAD76680"/>
    <w:rsid w:val="EBFDBE7B"/>
    <w:rsid w:val="ED7E02C9"/>
    <w:rsid w:val="EEFF3BCA"/>
    <w:rsid w:val="F77FA723"/>
    <w:rsid w:val="F9AFA013"/>
    <w:rsid w:val="F9BEF8D9"/>
    <w:rsid w:val="FAEFDB13"/>
    <w:rsid w:val="FB7FBF1B"/>
    <w:rsid w:val="FEFCFCCD"/>
    <w:rsid w:val="FF3BFF71"/>
    <w:rsid w:val="FF77CD6A"/>
    <w:rsid w:val="FFBF5C74"/>
    <w:rsid w:val="FFE9E119"/>
    <w:rsid w:val="FFF3D5B2"/>
    <w:rsid w:val="FFFDE5DF"/>
    <w:rsid w:val="FFFF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uiPriority w:val="0"/>
    <w:pPr>
      <w:widowControl w:val="0"/>
      <w:spacing w:line="540" w:lineRule="exact"/>
    </w:pPr>
    <w:rPr>
      <w:rFonts w:ascii="楷体_GB2312" w:hAnsi="Calibri" w:eastAsia="楷体_GB2312" w:cs="Times New Roman"/>
      <w:kern w:val="2"/>
      <w:sz w:val="32"/>
      <w:szCs w:val="20"/>
    </w:r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8">
    <w:name w:val="Normal (Web)"/>
    <w:basedOn w:val="1"/>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paragraph" w:styleId="9">
    <w:name w:val="Body Text First Indent"/>
    <w:basedOn w:val="2"/>
    <w:next w:val="10"/>
    <w:uiPriority w:val="0"/>
    <w:pPr>
      <w:widowControl/>
      <w:ind w:firstLine="440" w:firstLineChars="200"/>
    </w:pPr>
    <w:rPr>
      <w:rFonts w:ascii="宋体" w:hAnsi="宋体"/>
      <w:kern w:val="0"/>
    </w:rPr>
  </w:style>
  <w:style w:type="paragraph" w:styleId="10">
    <w:name w:val="Body Text First Indent 2"/>
    <w:basedOn w:val="4"/>
    <w:next w:val="9"/>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文件正文"/>
    <w:basedOn w:val="7"/>
    <w:qFormat/>
    <w:uiPriority w:val="0"/>
    <w:pPr>
      <w:spacing w:before="0" w:after="0" w:line="560" w:lineRule="exact"/>
      <w:ind w:firstLine="622" w:firstLineChars="200"/>
      <w:jc w:val="both"/>
      <w:outlineLvl w:val="9"/>
    </w:pPr>
    <w:rPr>
      <w:rFonts w:ascii="仿宋_GB2312" w:hAnsi="仿宋_GB2312" w:eastAsia="仿宋_GB2312" w:cs="仿宋_GB2312"/>
      <w:b w:val="0"/>
      <w:bCs w:val="0"/>
      <w:kern w:val="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2542</Words>
  <Characters>2679</Characters>
  <Lines>0</Lines>
  <Paragraphs>0</Paragraphs>
  <TotalTime>18</TotalTime>
  <ScaleCrop>false</ScaleCrop>
  <LinksUpToDate>false</LinksUpToDate>
  <CharactersWithSpaces>2745</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B7C033AF259C420AAD66BF944A04AEAE_11</vt:lpwstr>
  </property>
  <property fmtid="{D5CDD505-2E9C-101B-9397-08002B2CF9AE}" pid="4" name="KSOTemplateDocerSaveRecord">
    <vt:lpwstr>eyJoZGlkIjoiZmQ1YTI3YTQyMWNjODRmYjRkZmI0OWJiNmNhOGMzMjgiLCJ1c2VySWQiOiIzNjAzODE1ODkifQ==</vt:lpwstr>
  </property>
</Properties>
</file>