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right="0"/>
        <w:jc w:val="center"/>
        <w:textAlignment w:val="auto"/>
        <w:rPr>
          <w:rFonts w:hint="eastAsia"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lang w:val="en-US" w:eastAsia="zh-CN"/>
        </w:rPr>
        <w:t>深圳市商务局关于市</w:t>
      </w:r>
      <w:r>
        <w:rPr>
          <w:rFonts w:hint="eastAsia" w:ascii="方正小标宋简体" w:hAnsi="方正小标宋简体" w:eastAsia="方正小标宋简体" w:cs="方正小标宋简体"/>
          <w:color w:val="auto"/>
          <w:sz w:val="44"/>
          <w:szCs w:val="44"/>
        </w:rPr>
        <w:t>政协</w:t>
      </w:r>
      <w:r>
        <w:rPr>
          <w:rFonts w:hint="eastAsia" w:ascii="方正小标宋简体" w:hAnsi="方正小标宋简体" w:eastAsia="方正小标宋简体" w:cs="方正小标宋简体"/>
          <w:color w:val="auto"/>
          <w:sz w:val="44"/>
          <w:szCs w:val="44"/>
          <w:lang w:val="en-US" w:eastAsia="zh-CN"/>
        </w:rPr>
        <w:t>七</w:t>
      </w:r>
      <w:r>
        <w:rPr>
          <w:rFonts w:hint="eastAsia" w:ascii="方正小标宋简体" w:hAnsi="方正小标宋简体" w:eastAsia="方正小标宋简体" w:cs="方正小标宋简体"/>
          <w:color w:val="auto"/>
          <w:sz w:val="44"/>
          <w:szCs w:val="44"/>
        </w:rPr>
        <w:t>届</w:t>
      </w:r>
      <w:r>
        <w:rPr>
          <w:rFonts w:hint="eastAsia" w:ascii="方正小标宋简体" w:hAnsi="方正小标宋简体" w:eastAsia="方正小标宋简体" w:cs="方正小标宋简体"/>
          <w:color w:val="auto"/>
          <w:sz w:val="44"/>
          <w:szCs w:val="44"/>
          <w:lang w:val="en-US" w:eastAsia="zh-CN"/>
        </w:rPr>
        <w:t>五</w:t>
      </w:r>
      <w:r>
        <w:rPr>
          <w:rFonts w:hint="eastAsia" w:ascii="方正小标宋简体" w:hAnsi="方正小标宋简体" w:eastAsia="方正小标宋简体" w:cs="方正小标宋简体"/>
          <w:color w:val="auto"/>
          <w:sz w:val="44"/>
          <w:szCs w:val="44"/>
        </w:rPr>
        <w:t>次会议</w:t>
      </w:r>
    </w:p>
    <w:p>
      <w:pPr>
        <w:keepNext w:val="0"/>
        <w:keepLines w:val="0"/>
        <w:pageBreakBefore w:val="0"/>
        <w:widowControl w:val="0"/>
        <w:kinsoku/>
        <w:wordWrap/>
        <w:overflowPunct/>
        <w:topLinePunct w:val="0"/>
        <w:autoSpaceDE/>
        <w:autoSpaceDN/>
        <w:bidi w:val="0"/>
        <w:adjustRightInd/>
        <w:snapToGrid/>
        <w:spacing w:line="560" w:lineRule="exact"/>
        <w:ind w:right="0"/>
        <w:jc w:val="center"/>
        <w:textAlignment w:val="auto"/>
        <w:rPr>
          <w:rFonts w:hint="eastAsia" w:ascii="方正小标宋简体" w:hAnsi="方正小标宋简体" w:eastAsia="方正小标宋简体" w:cs="方正小标宋简体"/>
          <w:color w:val="auto"/>
          <w:sz w:val="44"/>
          <w:szCs w:val="44"/>
          <w:lang w:val="en-US" w:eastAsia="zh-CN"/>
        </w:rPr>
      </w:pPr>
      <w:r>
        <w:rPr>
          <w:rFonts w:hint="eastAsia" w:ascii="方正小标宋简体" w:hAnsi="方正小标宋简体" w:eastAsia="方正小标宋简体" w:cs="方正小标宋简体"/>
          <w:color w:val="auto"/>
          <w:sz w:val="44"/>
          <w:szCs w:val="44"/>
        </w:rPr>
        <w:t>第20250234号</w:t>
      </w:r>
      <w:r>
        <w:rPr>
          <w:rFonts w:hint="eastAsia" w:ascii="方正小标宋简体" w:hAnsi="方正小标宋简体" w:eastAsia="方正小标宋简体" w:cs="方正小标宋简体"/>
          <w:color w:val="auto"/>
          <w:sz w:val="44"/>
          <w:szCs w:val="44"/>
          <w:lang w:val="en-US" w:eastAsia="zh-CN"/>
        </w:rPr>
        <w:t>建议答复意见的函</w:t>
      </w:r>
    </w:p>
    <w:p>
      <w:pPr>
        <w:keepNext w:val="0"/>
        <w:keepLines w:val="0"/>
        <w:pageBreakBefore w:val="0"/>
        <w:widowControl w:val="0"/>
        <w:kinsoku/>
        <w:wordWrap/>
        <w:overflowPunct/>
        <w:topLinePunct w:val="0"/>
        <w:autoSpaceDE/>
        <w:autoSpaceDN/>
        <w:bidi w:val="0"/>
        <w:adjustRightInd/>
        <w:snapToGrid/>
        <w:spacing w:line="560" w:lineRule="exact"/>
        <w:ind w:right="0"/>
        <w:jc w:val="both"/>
        <w:textAlignment w:val="auto"/>
        <w:rPr>
          <w:rFonts w:hint="eastAsia" w:ascii="仿宋_GB2312" w:hAnsi="仿宋_GB2312" w:eastAsia="仿宋_GB2312" w:cs="仿宋_GB2312"/>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right="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致公党深圳市委会：</w:t>
      </w: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jc w:val="both"/>
        <w:textAlignment w:val="auto"/>
        <w:rPr>
          <w:rFonts w:hint="default" w:ascii="仿宋_GB2312" w:eastAsia="仿宋_GB2312"/>
          <w:color w:val="auto"/>
          <w:sz w:val="32"/>
          <w:szCs w:val="32"/>
          <w:lang w:val="en-US" w:eastAsia="zh-CN"/>
        </w:rPr>
      </w:pPr>
      <w:r>
        <w:rPr>
          <w:rFonts w:hint="eastAsia" w:ascii="仿宋_GB2312" w:eastAsia="仿宋_GB2312"/>
          <w:color w:val="auto"/>
          <w:sz w:val="32"/>
          <w:szCs w:val="32"/>
          <w:lang w:val="en-US" w:eastAsia="zh-CN"/>
        </w:rPr>
        <w:t>贵单位在市政协七届五次会议上提出的第20250234号建议《关于加速推动我市商文旅融合发展的建议》收悉。非常感谢贵单位对深圳市商文旅融合发展的关心与支持。经认真研究，现答复如下：</w:t>
      </w:r>
    </w:p>
    <w:p>
      <w:pPr>
        <w:pStyle w:val="7"/>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聚焦城市品牌营销，打造城市级促消费活动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今年上半年，深圳市商务、文旅部门深度联动积极推进“商文旅展”消费融合，开展“2025深圳新型消费季”“深圳跨年新春消费季”“深圳之夏消费季暨暑期促消费活动”等活动超680场</w:t>
      </w:r>
      <w:r>
        <w:rPr>
          <w:rFonts w:hint="eastAsia" w:ascii="仿宋_GB2312" w:hAnsi="仿宋_GB2312" w:eastAsia="仿宋_GB2312" w:cs="仿宋_GB2312"/>
          <w:sz w:val="32"/>
          <w:szCs w:val="32"/>
          <w:lang w:eastAsia="zh-CN"/>
        </w:rPr>
        <w:t>。其中，</w:t>
      </w:r>
      <w:r>
        <w:rPr>
          <w:rFonts w:hint="eastAsia" w:ascii="仿宋_GB2312" w:hAnsi="仿宋_GB2312" w:eastAsia="仿宋_GB2312" w:cs="仿宋_GB2312"/>
          <w:sz w:val="32"/>
          <w:szCs w:val="32"/>
        </w:rPr>
        <w:t>深圳新型消费季聚焦“AI消费”“以旧换新”“首发经济”“服务消费”等</w:t>
      </w:r>
      <w:r>
        <w:rPr>
          <w:rFonts w:hint="eastAsia" w:ascii="仿宋_GB2312" w:hAnsi="仿宋_GB2312" w:eastAsia="仿宋_GB2312" w:cs="仿宋_GB2312"/>
          <w:sz w:val="32"/>
          <w:szCs w:val="32"/>
          <w:lang w:eastAsia="zh-CN"/>
        </w:rPr>
        <w:t>具有深圳特色的消费</w:t>
      </w:r>
      <w:r>
        <w:rPr>
          <w:rFonts w:hint="eastAsia" w:ascii="仿宋_GB2312" w:hAnsi="仿宋_GB2312" w:eastAsia="仿宋_GB2312" w:cs="仿宋_GB2312"/>
          <w:sz w:val="32"/>
          <w:szCs w:val="32"/>
        </w:rPr>
        <w:t>热点，组织南头古城、福田星河COCO Park、卓悦中心、前海壹方城、深圳欢乐海岸、万丰海岸城、深圳手信、十日谈等超60家重点商圈品牌商家，为广大消费者带来AI消费进商圈、智能生活焕新计划、少儿无人机竞技大赛、“布里生花”—扎染非遗艺术展等近百场特色主题活动</w:t>
      </w:r>
      <w:r>
        <w:rPr>
          <w:rFonts w:hint="eastAsia" w:ascii="仿宋_GB2312" w:hAnsi="仿宋_GB2312" w:eastAsia="仿宋_GB2312" w:cs="仿宋_GB2312"/>
          <w:sz w:val="32"/>
          <w:szCs w:val="32"/>
          <w:lang w:eastAsia="zh-CN"/>
        </w:rPr>
        <w:t>。深入</w:t>
      </w:r>
      <w:r>
        <w:rPr>
          <w:rFonts w:hint="eastAsia" w:ascii="仿宋_GB2312" w:hAnsi="仿宋_GB2312" w:eastAsia="仿宋_GB2312" w:cs="仿宋_GB2312"/>
          <w:sz w:val="32"/>
          <w:szCs w:val="32"/>
        </w:rPr>
        <w:t>挖掘我市城市特质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2025深圳新型消费季</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首场主题体验活动——</w:t>
      </w:r>
      <w:r>
        <w:rPr>
          <w:rFonts w:hint="eastAsia" w:ascii="仿宋_GB2312" w:hAnsi="仿宋_GB2312" w:eastAsia="仿宋_GB2312" w:cs="仿宋_GB2312"/>
          <w:b/>
          <w:bCs/>
          <w:sz w:val="32"/>
          <w:szCs w:val="32"/>
        </w:rPr>
        <w:t>AI“黑科技”碰撞国货潮品</w:t>
      </w:r>
      <w:r>
        <w:rPr>
          <w:rFonts w:hint="eastAsia" w:ascii="仿宋_GB2312" w:hAnsi="仿宋_GB2312" w:eastAsia="仿宋_GB2312" w:cs="仿宋_GB2312"/>
          <w:sz w:val="32"/>
          <w:szCs w:val="32"/>
        </w:rPr>
        <w:t>落地南头古城。组织Z·Pilot、深圳手信、加推、噜咔博士等深圳品牌打造AI翻译耳机、智能穿戴设备、AI家庭机器人等潮流科技体验新秀场。现场首发《深圳手信2025新品推荐榜单》，融合AI技术的定制化文创产品——加推深圳城市AI名片、噜咔博士AI拍学机等产品首次亮相，展现“科技+文化”跨界创新成果。同时在全市重点商圈同步推出新型消费特色活动，推动AI智能消费与国潮、非遗文化深度融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下一步，我局将充分发挥本地产业和资源特色优势，于8-10月结合我市新开业重点商业项目及消费电子、新能源汽车等优势产业及重点消费制造企业，围绕“暑假、七夕、中秋、国庆”等重要节庆节点和“深圳特区建立45周年、十五运会”等热点，统筹全城举办“2025深圳购物季”系列大型促消费活动，打造具有全球影响力的购物嘉年华，</w:t>
      </w:r>
      <w:r>
        <w:rPr>
          <w:rFonts w:hint="eastAsia" w:ascii="仿宋_GB2312" w:hAnsi="仿宋_GB2312" w:eastAsia="仿宋_GB2312" w:cs="仿宋_GB2312"/>
          <w:b/>
          <w:bCs/>
          <w:sz w:val="32"/>
          <w:szCs w:val="32"/>
          <w:lang w:eastAsia="zh-CN"/>
        </w:rPr>
        <w:t>全力构建深圳消费品牌</w:t>
      </w:r>
      <w:r>
        <w:rPr>
          <w:rFonts w:hint="eastAsia" w:ascii="仿宋_GB2312" w:hAnsi="仿宋_GB2312" w:eastAsia="仿宋_GB2312" w:cs="仿宋_GB2312"/>
          <w:sz w:val="32"/>
          <w:szCs w:val="32"/>
          <w:lang w:eastAsia="zh-CN"/>
        </w:rPr>
        <w:t>。聚焦商文旅融合消费将重点结合“服务消费季”“2025年‘Amazing ShenZhen’深圳全球旅游计划”等重点工作，发挥工业旅游、低空经济、邮轮经济、AI智能智造等特色文旅消费元素优势，推出特色旅游和研学畅玩路线。同时通过“</w:t>
      </w:r>
      <w:r>
        <w:rPr>
          <w:rFonts w:hint="eastAsia" w:ascii="仿宋_GB2312" w:hAnsi="仿宋_GB2312" w:eastAsia="仿宋_GB2312" w:cs="仿宋_GB2312"/>
          <w:sz w:val="32"/>
          <w:szCs w:val="32"/>
          <w:lang w:val="en-US" w:eastAsia="zh-CN"/>
        </w:rPr>
        <w:t>2025深圳购物季</w:t>
      </w:r>
      <w:r>
        <w:rPr>
          <w:rFonts w:hint="eastAsia" w:ascii="仿宋_GB2312" w:hAnsi="仿宋_GB2312" w:eastAsia="仿宋_GB2312" w:cs="仿宋_GB2312"/>
          <w:sz w:val="32"/>
          <w:szCs w:val="32"/>
          <w:lang w:eastAsia="zh-CN"/>
        </w:rPr>
        <w:t>”月度主题直播以及系列短视频做到“政府搭台、企业唱戏、平台媒体共助力”，创新叙事视角和推介路径，提升城市网络热度和旅游影响力。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二、推动构建“一区域一特色”发展格局，打造消费示范新空间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我市已出台《深圳市商业网点规划（2025-2035）》，聚力打造“5个世界级商圈+6个全国级商圈+42个区域级商圈+N个社区级商圈”体系，推动构建“一区域一特色”发展格局，鼓励融合型商业、创新时尚型商业、倡导策展型商业、培育主题式商业、完善社区型商业，助力全市商业消费空间高质量、可持续发展。今年以来，蛇口太子湾K11 ECOAST、深圳iN城市广场、深圳平安金融中心PA MALL、太子湾招商花园、IE PARK智驾公园、京东mall、罗湖益田假日、深圳大悦城等商业项目先后入市，全市新增商业面积近80万㎡。其中，K11 ECOAST海滨文化艺术区总建筑面积达22.85万平方米，涵盖多种业态。建设全国首个“商圈级”智慧客流监测体系和AI数据分析平台，成功引进了多个首店，包括酷骑全国首家线下旗舰店、Moovi全国首家沿海商业综合体店、深圳首家超4000平方米艺术影院等。全国示范商圈建设持续推进，福田中心商圈纳入全国示范商圈/步行街建设首批复核名单，通过“一个平台、多口接入、服务四方”的智慧化应用，在智慧化建设、消费场景创新、深港消费融合等方面为全国商圈建设开展先行示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sz w:val="32"/>
          <w:szCs w:val="32"/>
          <w:lang w:eastAsia="zh-CN"/>
        </w:rPr>
        <w:t>下一步，</w:t>
      </w:r>
      <w:r>
        <w:rPr>
          <w:rFonts w:hint="eastAsia" w:ascii="仿宋_GB2312" w:hAnsi="仿宋_GB2312" w:eastAsia="仿宋_GB2312" w:cs="仿宋_GB2312"/>
          <w:b/>
          <w:bCs/>
          <w:sz w:val="32"/>
          <w:szCs w:val="32"/>
          <w:lang w:eastAsia="zh-CN"/>
        </w:rPr>
        <w:t>一是</w:t>
      </w:r>
      <w:r>
        <w:rPr>
          <w:rFonts w:hint="eastAsia" w:ascii="仿宋_GB2312" w:hAnsi="仿宋_GB2312" w:eastAsia="仿宋_GB2312" w:cs="仿宋_GB2312"/>
          <w:sz w:val="32"/>
          <w:szCs w:val="32"/>
          <w:lang w:eastAsia="zh-CN"/>
        </w:rPr>
        <w:t>持续整合商圈、文旅、科技等资源，借助我市科技创新优势，着力培育AI消费新动能，全面开展“AI服务进商圈”活动，打造更多具有深圳特色和科技元素的示范性创新型商文旅融合消费活动，构建消费示范新场景。</w:t>
      </w:r>
      <w:r>
        <w:rPr>
          <w:rFonts w:hint="eastAsia" w:ascii="仿宋_GB2312" w:hAnsi="仿宋_GB2312" w:eastAsia="仿宋_GB2312" w:cs="仿宋_GB2312"/>
          <w:b/>
          <w:bCs/>
          <w:sz w:val="32"/>
          <w:szCs w:val="32"/>
          <w:lang w:eastAsia="zh-CN"/>
        </w:rPr>
        <w:t>二是</w:t>
      </w:r>
      <w:r>
        <w:rPr>
          <w:rFonts w:hint="eastAsia" w:ascii="仿宋_GB2312" w:hAnsi="仿宋_GB2312" w:eastAsia="仿宋_GB2312" w:cs="仿宋_GB2312"/>
          <w:b w:val="0"/>
          <w:bCs w:val="0"/>
          <w:sz w:val="32"/>
          <w:szCs w:val="32"/>
          <w:lang w:eastAsia="zh-CN"/>
        </w:rPr>
        <w:t>通过年底各大企业周年庆与七夕、中秋国庆等重大节庆结合，通过精致美陈、特色活动与促销活动结合，多维资源聚力共促商圈经济发展。</w:t>
      </w:r>
      <w:r>
        <w:rPr>
          <w:rFonts w:hint="eastAsia" w:ascii="仿宋_GB2312" w:hAnsi="仿宋_GB2312" w:eastAsia="仿宋_GB2312" w:cs="仿宋_GB2312"/>
          <w:b/>
          <w:bCs/>
          <w:sz w:val="32"/>
          <w:szCs w:val="32"/>
          <w:lang w:eastAsia="zh-CN"/>
        </w:rPr>
        <w:t>三是</w:t>
      </w:r>
      <w:r>
        <w:rPr>
          <w:rFonts w:hint="eastAsia" w:ascii="仿宋_GB2312" w:hAnsi="仿宋_GB2312" w:eastAsia="仿宋_GB2312" w:cs="仿宋_GB2312"/>
          <w:b w:val="0"/>
          <w:bCs w:val="0"/>
          <w:sz w:val="32"/>
          <w:szCs w:val="32"/>
          <w:lang w:eastAsia="zh-CN"/>
        </w:rPr>
        <w:t>聚焦一刻钟便民商圈建设，组织各大商圈积极参与“商圈消费购”“城市美陈大赛”等主题活动，解锁美陈打卡推荐线路，推介深圳商圈优质美陈与新颖活动。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三、借助“IP+消费”融合模式和首发经济创新优势</w:t>
      </w:r>
      <w:r>
        <w:rPr>
          <w:rFonts w:hint="eastAsia" w:ascii="黑体" w:hAnsi="黑体" w:eastAsia="黑体" w:cs="黑体"/>
          <w:sz w:val="32"/>
          <w:szCs w:val="32"/>
          <w:lang w:val="en-US" w:eastAsia="zh-CN"/>
        </w:rPr>
        <w:t>，</w:t>
      </w:r>
      <w:r>
        <w:rPr>
          <w:rFonts w:hint="eastAsia" w:ascii="黑体" w:hAnsi="黑体" w:eastAsia="黑体" w:cs="黑体"/>
          <w:sz w:val="32"/>
          <w:szCs w:val="32"/>
          <w:lang w:eastAsia="zh-CN"/>
        </w:rPr>
        <w:t>构筑商文旅消费新场景</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深圳市聚焦商文旅融合发展，创新探索“IP+消费”融合模式，成功入选商务部“IP+消费”典型案例。通过政策支持和市场引导，助力企业培育和引入优质IP资源，开发联名新品与衍生爆品；积极引入谷子经济相关业态，打造“Bit City次元小镇”等次元生态商业；整合商圈、文旅、科技、交通等资源，开展“寻梦南山”IP专项促消费活动，打造全城沉浸式主题场景，实现全城IP消费联动。南山区引进国际顶级IP“宝可梦”打造“寻梦南山”专项促消费活动，用宝可梦IP元素包装22个地铁站、300余个社区刊位、360余块户外大屏，打造主题化、沉浸式城市公共空间。在主会场设置宝可梦国家博物馆展览深圳首展、国际首个发光皮卡丘、宝可梦主题无人机灯光秀等IP主题活动；创新举办内地首场“IP亲子欢乐跑”、“水陆空三位一体巡游”（无人机、无人船、人偶互动）、串联商圈的“追梦巴士”三大活动，吸引近200万人次参与，创下单场巡游超4万人次观看记录，全网活动曝光超2.2亿。前海合作区联动人气国漫IP“奶龙”推出“趣前海，龙出没”活动，依托城市滨海资源，举办巨型“奶龙”主题展，打造“滨海晚霞落日打卡地”；结合中秋国庆节点，举办“深港霞光灿烂音乐会”、前海Needo周末音乐节、“深圳购物季美食集市”等活动，现场打卡超10万，触达超1亿人次，登顶国庆深圳文旅榜首。</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下一步，</w:t>
      </w:r>
      <w:r>
        <w:rPr>
          <w:rFonts w:hint="eastAsia" w:ascii="仿宋_GB2312" w:hAnsi="仿宋_GB2312" w:eastAsia="仿宋_GB2312" w:cs="仿宋_GB2312"/>
          <w:b/>
          <w:bCs/>
          <w:sz w:val="32"/>
          <w:szCs w:val="32"/>
          <w:lang w:eastAsia="zh-CN"/>
        </w:rPr>
        <w:t>一是</w:t>
      </w:r>
      <w:r>
        <w:rPr>
          <w:rFonts w:hint="eastAsia" w:ascii="仿宋_GB2312" w:hAnsi="仿宋_GB2312" w:eastAsia="仿宋_GB2312" w:cs="仿宋_GB2312"/>
          <w:sz w:val="32"/>
          <w:szCs w:val="32"/>
          <w:lang w:eastAsia="zh-CN"/>
        </w:rPr>
        <w:t>借力IP促进商文旅融合消费。鼓励国潮品牌企业积极结合离境退税店、市内免税店、口岸免税店等新消费增长业态，进一步培育发展优质国货潮品，推广深圳优质国货品牌与文化IP。鼓励企业结合国潮潮品及年轻人喜闻乐见的国潮、国际IP，开展城市首展首秀活动，进一步结合深圳的创新优势和国际化营商环境，构筑商文旅消费新场景。</w:t>
      </w:r>
      <w:r>
        <w:rPr>
          <w:rFonts w:hint="eastAsia" w:ascii="仿宋_GB2312" w:hAnsi="仿宋_GB2312" w:eastAsia="仿宋_GB2312" w:cs="仿宋_GB2312"/>
          <w:b/>
          <w:bCs/>
          <w:sz w:val="32"/>
          <w:szCs w:val="32"/>
          <w:lang w:eastAsia="zh-CN"/>
        </w:rPr>
        <w:t>二是</w:t>
      </w:r>
      <w:r>
        <w:rPr>
          <w:rFonts w:hint="eastAsia" w:ascii="仿宋_GB2312" w:hAnsi="仿宋_GB2312" w:eastAsia="仿宋_GB2312" w:cs="仿宋_GB2312"/>
          <w:sz w:val="32"/>
          <w:szCs w:val="32"/>
          <w:lang w:eastAsia="zh-CN"/>
        </w:rPr>
        <w:t>聚焦深圳机场“首发、首店、首展、首秀、首航”等场景，举办“潮起空港·首发深圳—五首联动集中展示发布活动”，打造“空港消费生态圈”，构建“旅行零售新地标”的航旅特色创新消费体验。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专此答复。再次感谢您对我市</w:t>
      </w:r>
      <w:r>
        <w:rPr>
          <w:rFonts w:hint="eastAsia" w:ascii="仿宋_GB2312" w:eastAsia="仿宋_GB2312"/>
          <w:color w:val="auto"/>
          <w:sz w:val="32"/>
          <w:szCs w:val="32"/>
          <w:lang w:val="en-US" w:eastAsia="zh-CN"/>
        </w:rPr>
        <w:t>商文旅融合发展的关心与支持。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rPr>
          <w:rFonts w:hint="eastAsia" w:ascii="仿宋_GB2312" w:hAnsi="仿宋_GB2312" w:eastAsia="仿宋_GB2312" w:cs="仿宋_GB2312"/>
          <w:color w:val="auto"/>
          <w:sz w:val="32"/>
          <w:szCs w:val="32"/>
        </w:rPr>
      </w:pPr>
      <w:r>
        <w:rPr>
          <w:rFonts w:hint="default" w:ascii="仿宋_GB2312" w:hAnsi="仿宋_GB2312" w:eastAsia="仿宋_GB2312" w:cs="仿宋_GB2312"/>
          <w:color w:val="auto"/>
          <w:sz w:val="32"/>
          <w:szCs w:val="32"/>
        </w:rPr>
        <w:t xml:space="preserve">                       </w:t>
      </w:r>
      <w:r>
        <w:rPr>
          <w:rFonts w:hint="eastAsia" w:ascii="仿宋_GB2312" w:hAnsi="仿宋_GB2312" w:eastAsia="仿宋_GB2312" w:cs="仿宋_GB2312"/>
          <w:color w:val="auto"/>
          <w:sz w:val="32"/>
          <w:szCs w:val="32"/>
        </w:rPr>
        <w:t>深圳市商务局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                    </w:t>
      </w:r>
      <w:r>
        <w:rPr>
          <w:rFonts w:hint="default" w:ascii="仿宋_GB2312" w:hAnsi="仿宋_GB2312" w:eastAsia="仿宋_GB2312" w:cs="仿宋_GB2312"/>
          <w:color w:val="auto"/>
          <w:sz w:val="32"/>
          <w:szCs w:val="32"/>
          <w:lang w:val="en-US"/>
        </w:rPr>
        <w:t xml:space="preserve"> </w:t>
      </w:r>
      <w:r>
        <w:rPr>
          <w:rFonts w:hint="eastAsia" w:ascii="仿宋_GB2312" w:hAnsi="仿宋_GB2312" w:eastAsia="仿宋_GB2312" w:cs="仿宋_GB2312"/>
          <w:color w:val="auto"/>
          <w:sz w:val="32"/>
          <w:szCs w:val="32"/>
        </w:rPr>
        <w:t xml:space="preserve">      </w:t>
      </w:r>
      <w:r>
        <w:rPr>
          <w:rFonts w:hint="default" w:ascii="仿宋_GB2312" w:hAnsi="仿宋_GB2312" w:eastAsia="仿宋_GB2312" w:cs="仿宋_GB2312"/>
          <w:color w:val="auto"/>
          <w:sz w:val="32"/>
          <w:szCs w:val="32"/>
        </w:rPr>
        <w:t xml:space="preserve">   </w:t>
      </w: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8</w:t>
      </w:r>
      <w:r>
        <w:rPr>
          <w:rFonts w:hint="eastAsia" w:ascii="仿宋_GB2312" w:hAnsi="仿宋_GB2312" w:eastAsia="仿宋_GB2312" w:cs="仿宋_GB2312"/>
          <w:color w:val="auto"/>
          <w:sz w:val="32"/>
          <w:szCs w:val="32"/>
        </w:rPr>
        <w:t>月</w:t>
      </w:r>
      <w:r>
        <w:rPr>
          <w:rFonts w:hint="default" w:ascii="仿宋_GB2312" w:hAnsi="仿宋_GB2312" w:eastAsia="仿宋_GB2312" w:cs="仿宋_GB2312"/>
          <w:color w:val="auto"/>
          <w:sz w:val="32"/>
          <w:szCs w:val="32"/>
          <w:lang w:val="en-US" w:eastAsia="zh-CN"/>
        </w:rPr>
        <w:t>15</w:t>
      </w:r>
      <w:r>
        <w:rPr>
          <w:rFonts w:hint="eastAsia" w:ascii="仿宋_GB2312" w:hAnsi="仿宋_GB2312" w:eastAsia="仿宋_GB2312" w:cs="仿宋_GB2312"/>
          <w:color w:val="auto"/>
          <w:sz w:val="32"/>
          <w:szCs w:val="32"/>
        </w:rPr>
        <w:t>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_GB2312" w:hAnsi="仿宋_GB2312" w:eastAsia="仿宋_GB2312" w:cs="仿宋_GB2312"/>
          <w:sz w:val="32"/>
          <w:szCs w:val="32"/>
          <w:lang w:eastAsia="zh-CN"/>
        </w:rPr>
      </w:pPr>
      <w:bookmarkStart w:id="0" w:name="_GoBack"/>
      <w:bookmarkEnd w:id="0"/>
    </w:p>
    <w:sectPr>
      <w:footerReference r:id="rId3" w:type="default"/>
      <w:pgSz w:w="11906" w:h="16838"/>
      <w:pgMar w:top="1814" w:right="1474" w:bottom="1814" w:left="1474"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000020304"/>
    <w:charset w:val="7A"/>
    <w:family w:val="auto"/>
    <w:pitch w:val="default"/>
    <w:sig w:usb0="00000000" w:usb1="00000000"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Wingdings 3"/>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FangSong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Wingdings 3">
    <w:panose1 w:val="050401020108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2"/>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77FB335"/>
    <w:multiLevelType w:val="singleLevel"/>
    <w:tmpl w:val="677FB335"/>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SystemFonts/>
  <w:bordersDoNotSurroundHeader w:val="1"/>
  <w:bordersDoNotSurroundFooter w:val="1"/>
  <w:documentProtection w:edit="trackedChanges"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1947CF"/>
    <w:rsid w:val="4A1947CF"/>
    <w:rsid w:val="5ADE57F5"/>
    <w:rsid w:val="5F6F2121"/>
    <w:rsid w:val="70FF72CE"/>
    <w:rsid w:val="717F781E"/>
    <w:rsid w:val="726F48B0"/>
    <w:rsid w:val="73B8B79C"/>
    <w:rsid w:val="75DF24D5"/>
    <w:rsid w:val="77E0A9F9"/>
    <w:rsid w:val="7ADF5560"/>
    <w:rsid w:val="7E279044"/>
    <w:rsid w:val="7EEFDB13"/>
    <w:rsid w:val="B2B75BAC"/>
    <w:rsid w:val="BAF7D93E"/>
    <w:rsid w:val="DBF73CE1"/>
    <w:rsid w:val="DF8685D9"/>
    <w:rsid w:val="E5FFD64B"/>
    <w:rsid w:val="EFADF061"/>
    <w:rsid w:val="F6BAD4FD"/>
    <w:rsid w:val="FF5F40B9"/>
    <w:rsid w:val="FFDD32F4"/>
    <w:rsid w:val="FFDF9738"/>
    <w:rsid w:val="FFF1D799"/>
    <w:rsid w:val="FFF953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_Style 1"/>
    <w:basedOn w:val="1"/>
    <w:qFormat/>
    <w:uiPriority w:val="0"/>
    <w:pPr>
      <w:spacing w:before="0" w:beforeAutospacing="0" w:after="0"/>
      <w:ind w:firstLine="200" w:firstLineChars="200"/>
    </w:pPr>
    <w:rPr>
      <w:rFonts w:ascii="宋体" w:hAnsi="宋体" w:eastAsia="FangSong_GB2312" w:cs="Times New Roman"/>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14</TotalTime>
  <ScaleCrop>false</ScaleCrop>
  <LinksUpToDate>false</LinksUpToDate>
  <CharactersWithSpaces>0</CharactersWithSpaces>
  <Application>WPS Office_11.8.2.11958_F1E327BC-269C-435d-A152-05C5408002CA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2022-08-09T01:03:00Z</dcterms:created>
  <dc:creator>禾禾</dc:creator>
  <cp:lastModifiedBy>文件收发（黄俊源）</cp:lastModifiedBy>
  <cp:lastPrinted>2022-08-11T19:42:00Z</cp:lastPrinted>
  <dcterms:modified xsi:type="dcterms:W3CDTF">2025-11-04T16:21:18Z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2052-11.8.2.11958</vt:lpwstr>
  </property>
  <property fmtid="{D5CDD505-2E9C-101B-9397-08002B2CF9AE}" pid="3" name="ICV">
    <vt:lpwstr>6C74CB0202D8ECF624129B688D653F46</vt:lpwstr>
  </property>
</Properties>
</file>