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深圳市商务局关于对市政协七届五次会议</w:t>
      </w:r>
    </w:p>
    <w:p>
      <w:pPr>
        <w:keepNext w:val="0"/>
        <w:keepLines w:val="0"/>
        <w:pageBreakBefore w:val="0"/>
        <w:widowControl w:val="0"/>
        <w:kinsoku/>
        <w:wordWrap/>
        <w:overflowPunct/>
        <w:topLinePunct w:val="0"/>
        <w:autoSpaceDE/>
        <w:autoSpaceDN/>
        <w:bidi w:val="0"/>
        <w:adjustRightInd/>
        <w:snapToGrid/>
        <w:spacing w:line="560" w:lineRule="exact"/>
        <w:ind w:lef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第20250564号提案答复意见的函</w:t>
      </w:r>
    </w:p>
    <w:p>
      <w:pPr>
        <w:keepNext w:val="0"/>
        <w:keepLines w:val="0"/>
        <w:pageBreakBefore w:val="0"/>
        <w:widowControl w:val="0"/>
        <w:kinsoku/>
        <w:wordWrap/>
        <w:overflowPunct/>
        <w:topLinePunct w:val="0"/>
        <w:autoSpaceDE/>
        <w:autoSpaceDN/>
        <w:bidi w:val="0"/>
        <w:adjustRightInd/>
        <w:snapToGrid/>
        <w:spacing w:line="560" w:lineRule="exact"/>
        <w:ind w:lef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val="0"/>
        <w:snapToGrid w:val="0"/>
        <w:spacing w:line="560" w:lineRule="exact"/>
        <w:ind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尊敬的王志兴</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黄卜夫</w:t>
      </w:r>
      <w:r>
        <w:rPr>
          <w:rFonts w:hint="default" w:ascii="仿宋_GB2312" w:hAnsi="仿宋_GB2312" w:eastAsia="仿宋_GB2312" w:cs="仿宋_GB2312"/>
          <w:sz w:val="32"/>
          <w:szCs w:val="32"/>
          <w:lang w:eastAsia="zh-CN"/>
        </w:rPr>
        <w:t>委员</w:t>
      </w:r>
      <w:r>
        <w:rPr>
          <w:rFonts w:hint="eastAsia" w:ascii="仿宋_GB2312" w:hAnsi="仿宋_GB2312" w:eastAsia="仿宋_GB2312" w:cs="仿宋_GB2312"/>
          <w:sz w:val="32"/>
          <w:szCs w:val="32"/>
          <w:lang w:val="en-US" w:eastAsia="zh-CN"/>
        </w:rPr>
        <w:t>：</w:t>
      </w:r>
    </w:p>
    <w:p>
      <w:pPr>
        <w:keepNext w:val="0"/>
        <w:keepLines w:val="0"/>
        <w:pageBreakBefore w:val="0"/>
        <w:kinsoku/>
        <w:wordWrap/>
        <w:overflowPunct/>
        <w:topLinePunct w:val="0"/>
        <w:autoSpaceDE/>
        <w:autoSpaceDN/>
        <w:bidi w:val="0"/>
        <w:adjustRightInd w:val="0"/>
        <w:snapToGrid w:val="0"/>
        <w:spacing w:line="560" w:lineRule="exact"/>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您在市政协七届五次会议上提出的第20250564号建议《关于促进深圳市消费优化改善建议提案》收悉。非常感谢您对我市消费的关心与支持。经研究，关于“鼓励事业单位，企业发放实物奖励，促进消费</w:t>
      </w:r>
      <w:r>
        <w:rPr>
          <w:rFonts w:hint="default" w:ascii="仿宋_GB2312" w:hAnsi="仿宋_GB2312" w:eastAsia="仿宋_GB2312" w:cs="仿宋_GB2312"/>
          <w:sz w:val="32"/>
          <w:szCs w:val="32"/>
          <w:lang w:eastAsia="zh-CN"/>
        </w:rPr>
        <w:t>；完善数据监测与政府调整机制；强化地产链与消费联动；推动消费金融创新；支持企业全球化布局；延长财政补贴周期，扩大品类；优化消费券发放机制</w:t>
      </w:r>
      <w:r>
        <w:rPr>
          <w:rFonts w:hint="eastAsia" w:ascii="仿宋_GB2312" w:hAnsi="仿宋_GB2312" w:eastAsia="仿宋_GB2312" w:cs="仿宋_GB2312"/>
          <w:sz w:val="32"/>
          <w:szCs w:val="32"/>
          <w:lang w:val="en-US" w:eastAsia="zh-CN"/>
        </w:rPr>
        <w:t>”的建议，回复如下：</w:t>
      </w:r>
    </w:p>
    <w:p>
      <w:pPr>
        <w:keepNext w:val="0"/>
        <w:keepLines w:val="0"/>
        <w:pageBreakBefore w:val="0"/>
        <w:numPr>
          <w:ilvl w:val="-1"/>
          <w:numId w:val="0"/>
        </w:numPr>
        <w:kinsoku/>
        <w:wordWrap/>
        <w:overflowPunct/>
        <w:topLinePunct w:val="0"/>
        <w:autoSpaceDE/>
        <w:autoSpaceDN/>
        <w:bidi w:val="0"/>
        <w:adjustRightInd w:val="0"/>
        <w:snapToGrid w:val="0"/>
        <w:spacing w:line="560" w:lineRule="exact"/>
        <w:ind w:leftChars="0" w:firstLine="640" w:firstLineChars="200"/>
        <w:textAlignment w:val="auto"/>
        <w:rPr>
          <w:rFonts w:hint="eastAsia" w:ascii="黑体" w:hAnsi="黑体" w:eastAsia="黑体" w:cs="黑体"/>
          <w:kern w:val="2"/>
          <w:sz w:val="32"/>
          <w:szCs w:val="32"/>
          <w:lang w:val="en-US" w:eastAsia="zh-CN" w:bidi="ar-SA"/>
        </w:rPr>
      </w:pPr>
      <w:r>
        <w:rPr>
          <w:rFonts w:hint="default" w:ascii="黑体" w:hAnsi="黑体" w:eastAsia="黑体" w:cs="黑体"/>
          <w:kern w:val="2"/>
          <w:sz w:val="32"/>
          <w:szCs w:val="32"/>
          <w:lang w:eastAsia="zh-CN" w:bidi="ar-SA"/>
        </w:rPr>
        <w:t>一、</w:t>
      </w:r>
      <w:r>
        <w:rPr>
          <w:rFonts w:hint="eastAsia" w:ascii="黑体" w:hAnsi="黑体" w:eastAsia="黑体" w:cs="黑体"/>
          <w:kern w:val="2"/>
          <w:sz w:val="32"/>
          <w:szCs w:val="32"/>
          <w:lang w:val="en-US" w:eastAsia="zh-CN" w:bidi="ar-SA"/>
        </w:rPr>
        <w:t>鼓励事业单位，企业发放实物奖励，促进消费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0" w:firstLine="640"/>
        <w:textAlignment w:val="auto"/>
        <w:rPr>
          <w:rFonts w:hint="default" w:ascii="仿宋_GB2312" w:hAnsi="仿宋_GB2312" w:eastAsia="仿宋_GB2312" w:cs="仿宋_GB2312"/>
          <w:kern w:val="0"/>
          <w:sz w:val="32"/>
          <w:szCs w:val="32"/>
          <w:lang w:bidi="ar"/>
        </w:rPr>
      </w:pPr>
      <w:r>
        <w:rPr>
          <w:rFonts w:hint="default" w:ascii="仿宋_GB2312" w:hAnsi="仿宋_GB2312" w:eastAsia="仿宋_GB2312" w:cs="仿宋_GB2312"/>
          <w:sz w:val="32"/>
          <w:szCs w:val="32"/>
          <w:lang w:eastAsia="zh-CN"/>
        </w:rPr>
        <w:t>6月6日，我市印发了</w:t>
      </w:r>
      <w:r>
        <w:rPr>
          <w:rFonts w:ascii="仿宋_GB2312" w:hAnsi="仿宋_GB2312" w:eastAsia="仿宋_GB2312" w:cs="仿宋_GB2312"/>
          <w:i w:val="0"/>
          <w:iCs w:val="0"/>
          <w:caps w:val="0"/>
          <w:color w:val="auto"/>
          <w:spacing w:val="0"/>
          <w:kern w:val="2"/>
          <w:sz w:val="32"/>
          <w:szCs w:val="32"/>
          <w:shd w:val="clear" w:fill="auto"/>
          <w:lang w:val="en-US" w:eastAsia="zh-CN" w:bidi="ar"/>
        </w:rPr>
        <w:t>《深圳市提振消费专项行动实施方案》</w:t>
      </w:r>
      <w:r>
        <w:rPr>
          <w:rFonts w:ascii="仿宋_GB2312" w:hAnsi="仿宋_GB2312" w:eastAsia="仿宋_GB2312" w:cs="仿宋_GB2312"/>
          <w:sz w:val="32"/>
          <w:szCs w:val="32"/>
        </w:rPr>
        <w:t>，明确提出：</w:t>
      </w:r>
      <w:r>
        <w:rPr>
          <w:rFonts w:hint="default" w:ascii="仿宋_GB2312" w:hAnsi="仿宋_GB2312" w:eastAsia="仿宋_GB2312" w:cs="仿宋_GB2312"/>
          <w:sz w:val="32"/>
          <w:szCs w:val="32"/>
          <w:lang w:eastAsia="zh-CN"/>
        </w:rPr>
        <w:t>推动符合规定的职工福利应享尽享，鼓励各级工会将经费用于节日慰问品、职工健身、文体旅游等消费领域，扩大职工疗休养规模，拓展职工春秋游和“工会夏令营”活动。据了解，很多企业、单位通过工会的方式，发放实物奖励或慰问品，同时我局联动市总工会通过“深I工”“圳品真好网”等小程序，推广质优价优的产品，深圳工会实名认证会员还可领取专项抵扣。我局将会同工会组织等，宣传鼓励合法合规发放实物奖励和慰问品</w:t>
      </w:r>
      <w:r>
        <w:rPr>
          <w:rFonts w:hint="default" w:ascii="仿宋_GB2312" w:hAnsi="仿宋_GB2312" w:eastAsia="仿宋_GB2312" w:cs="仿宋_GB2312"/>
          <w:kern w:val="0"/>
          <w:sz w:val="32"/>
          <w:szCs w:val="32"/>
          <w:lang w:bidi="ar"/>
        </w:rPr>
        <w:t>。</w:t>
      </w:r>
    </w:p>
    <w:p>
      <w:pPr>
        <w:keepNext w:val="0"/>
        <w:keepLines w:val="0"/>
        <w:pageBreakBefore w:val="0"/>
        <w:numPr>
          <w:ilvl w:val="-1"/>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黑体" w:hAnsi="黑体" w:eastAsia="黑体" w:cs="黑体"/>
          <w:kern w:val="2"/>
          <w:sz w:val="32"/>
          <w:szCs w:val="32"/>
          <w:lang w:eastAsia="zh-CN" w:bidi="ar-SA"/>
        </w:rPr>
      </w:pPr>
      <w:r>
        <w:rPr>
          <w:rFonts w:hint="default" w:ascii="黑体" w:hAnsi="黑体" w:eastAsia="黑体" w:cs="黑体"/>
          <w:kern w:val="2"/>
          <w:sz w:val="32"/>
          <w:szCs w:val="32"/>
          <w:lang w:eastAsia="zh-CN" w:bidi="ar-SA"/>
        </w:rPr>
        <w:t>二、完善数据监测与政府调整机制</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0" w:firstLine="640"/>
        <w:textAlignment w:val="auto"/>
        <w:rPr>
          <w:rFonts w:hint="default" w:ascii="仿宋_GB2312" w:hAnsi="仿宋_GB2312" w:eastAsia="仿宋_GB2312" w:cs="仿宋_GB2312"/>
          <w:kern w:val="0"/>
          <w:sz w:val="32"/>
          <w:szCs w:val="32"/>
          <w:lang w:eastAsia="zh-CN" w:bidi="ar"/>
        </w:rPr>
      </w:pPr>
      <w:r>
        <w:rPr>
          <w:rFonts w:hint="default" w:ascii="仿宋_GB2312" w:hAnsi="仿宋_GB2312" w:eastAsia="仿宋_GB2312" w:cs="仿宋_GB2312"/>
          <w:kern w:val="0"/>
          <w:sz w:val="32"/>
          <w:szCs w:val="32"/>
          <w:lang w:eastAsia="zh-CN" w:bidi="ar"/>
        </w:rPr>
        <w:t>按照市委市政府的要求，市区商务部门建立了覆盖商圈、农贸市场、保供应企业等抽样监测机制，通过以旧换新申报系统，了解全市汽车、家电等消费情况，开展节假日、重点商品的客流和销售，一定程度上掌握市场消费情况。对于</w:t>
      </w:r>
      <w:r>
        <w:rPr>
          <w:rFonts w:hint="default" w:ascii="仿宋_GB2312" w:hAnsi="仿宋_GB2312" w:eastAsia="仿宋_GB2312" w:cs="仿宋_GB2312"/>
          <w:kern w:val="0"/>
          <w:sz w:val="32"/>
          <w:szCs w:val="32"/>
          <w:lang w:val="en-US" w:eastAsia="zh-CN" w:bidi="ar"/>
        </w:rPr>
        <w:t>消费疲软区域，增加消费券等力度</w:t>
      </w:r>
      <w:r>
        <w:rPr>
          <w:rFonts w:hint="default" w:ascii="仿宋_GB2312" w:hAnsi="仿宋_GB2312" w:eastAsia="仿宋_GB2312" w:cs="仿宋_GB2312"/>
          <w:kern w:val="0"/>
          <w:sz w:val="32"/>
          <w:szCs w:val="32"/>
          <w:lang w:eastAsia="zh-CN" w:bidi="ar"/>
        </w:rPr>
        <w:t>的建议，我局将积极向市政府反映和争取，在每年度预算申报中争取市财政局的支持，按照财政资金管理的制度，合法合规、公平公正地落实好惠民政策。</w:t>
      </w:r>
    </w:p>
    <w:p>
      <w:pPr>
        <w:keepNext w:val="0"/>
        <w:keepLines w:val="0"/>
        <w:pageBreakBefore w:val="0"/>
        <w:widowControl w:val="0"/>
        <w:numPr>
          <w:ilvl w:val="-1"/>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黑体" w:hAnsi="黑体" w:eastAsia="黑体" w:cs="黑体"/>
          <w:kern w:val="2"/>
          <w:sz w:val="32"/>
          <w:szCs w:val="32"/>
          <w:lang w:eastAsia="zh-CN" w:bidi="ar-SA"/>
        </w:rPr>
      </w:pPr>
      <w:r>
        <w:rPr>
          <w:rFonts w:hint="default" w:ascii="黑体" w:hAnsi="黑体" w:eastAsia="黑体" w:cs="黑体"/>
          <w:kern w:val="2"/>
          <w:sz w:val="32"/>
          <w:szCs w:val="32"/>
          <w:lang w:eastAsia="zh-CN" w:bidi="ar-SA"/>
        </w:rPr>
        <w:t>三、强化地产链与消费联动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leftChars="0" w:right="0" w:firstLine="640" w:firstLineChars="200"/>
        <w:jc w:val="both"/>
        <w:textAlignment w:val="auto"/>
        <w:rPr>
          <w:rFonts w:hint="default" w:ascii="仿宋_GB2312" w:hAnsi="仿宋_GB2312" w:eastAsia="仿宋_GB2312" w:cs="仿宋_GB2312"/>
          <w:kern w:val="0"/>
          <w:sz w:val="32"/>
          <w:szCs w:val="32"/>
          <w:lang w:val="en-US" w:eastAsia="zh-CN" w:bidi="ar"/>
        </w:rPr>
      </w:pPr>
      <w:r>
        <w:rPr>
          <w:rFonts w:hint="default" w:ascii="仿宋_GB2312" w:hAnsi="仿宋_GB2312" w:eastAsia="仿宋_GB2312" w:cs="仿宋_GB2312"/>
          <w:kern w:val="0"/>
          <w:sz w:val="32"/>
          <w:szCs w:val="32"/>
          <w:lang w:eastAsia="zh-CN" w:bidi="ar"/>
        </w:rPr>
        <w:t>去年以来，国家采取统一政策，通过增发特别国债，实施消费品以旧换新政策。我市层面，通过家装厨卫以旧换新，对市民开展</w:t>
      </w:r>
      <w:r>
        <w:rPr>
          <w:rFonts w:hint="default" w:ascii="仿宋_GB2312" w:hAnsi="仿宋_GB2312" w:eastAsia="仿宋_GB2312" w:cs="仿宋_GB2312"/>
          <w:kern w:val="0"/>
          <w:sz w:val="32"/>
          <w:szCs w:val="32"/>
          <w:lang w:val="en-US" w:eastAsia="zh-CN" w:bidi="ar"/>
        </w:rPr>
        <w:t>住宅装修改造</w:t>
      </w:r>
      <w:r>
        <w:rPr>
          <w:rFonts w:hint="default" w:ascii="仿宋_GB2312" w:hAnsi="仿宋_GB2312" w:eastAsia="仿宋_GB2312" w:cs="仿宋_GB2312"/>
          <w:kern w:val="0"/>
          <w:sz w:val="32"/>
          <w:szCs w:val="32"/>
          <w:lang w:eastAsia="zh-CN" w:bidi="ar"/>
        </w:rPr>
        <w:t>购买的</w:t>
      </w:r>
      <w:r>
        <w:rPr>
          <w:rFonts w:hint="default" w:ascii="仿宋_GB2312" w:hAnsi="仿宋_GB2312" w:eastAsia="仿宋_GB2312" w:cs="仿宋_GB2312"/>
          <w:kern w:val="0"/>
          <w:sz w:val="32"/>
          <w:szCs w:val="32"/>
          <w:lang w:val="en-US" w:eastAsia="zh-CN" w:bidi="ar"/>
        </w:rPr>
        <w:t>物品和材料</w:t>
      </w:r>
      <w:r>
        <w:rPr>
          <w:rFonts w:hint="default" w:ascii="仿宋_GB2312" w:hAnsi="仿宋_GB2312" w:eastAsia="仿宋_GB2312" w:cs="仿宋_GB2312"/>
          <w:kern w:val="0"/>
          <w:sz w:val="32"/>
          <w:szCs w:val="32"/>
          <w:lang w:eastAsia="zh-CN" w:bidi="ar"/>
        </w:rPr>
        <w:t>给予15%的补贴支持，对购买符合能效要求的家用电器，则给予最高20%的补贴支持</w:t>
      </w:r>
      <w:r>
        <w:rPr>
          <w:rFonts w:hint="default"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eastAsia="zh-CN" w:bidi="ar"/>
        </w:rPr>
        <w:t>相关补贴均采取了即买即得的方式，提高消费者获得感。相关政策实现商品销售与房产销售的联动，2024年深圳销售超10万套住宅，增长49%。</w:t>
      </w:r>
    </w:p>
    <w:p>
      <w:pPr>
        <w:pStyle w:val="6"/>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leftChars="0" w:right="0" w:firstLine="640" w:firstLineChars="200"/>
        <w:jc w:val="both"/>
        <w:textAlignment w:val="auto"/>
        <w:rPr>
          <w:rFonts w:hint="eastAsia" w:ascii="黑体" w:hAnsi="黑体" w:eastAsia="黑体" w:cs="黑体"/>
          <w:kern w:val="2"/>
          <w:sz w:val="32"/>
          <w:szCs w:val="32"/>
          <w:lang w:val="en-US" w:eastAsia="zh-CN" w:bidi="ar-SA"/>
        </w:rPr>
      </w:pPr>
      <w:r>
        <w:rPr>
          <w:rFonts w:hint="default" w:ascii="黑体" w:hAnsi="黑体" w:eastAsia="黑体" w:cs="黑体"/>
          <w:kern w:val="2"/>
          <w:sz w:val="32"/>
          <w:szCs w:val="32"/>
          <w:lang w:eastAsia="zh-CN" w:bidi="ar-SA"/>
        </w:rPr>
        <w:t>四、</w:t>
      </w:r>
      <w:r>
        <w:rPr>
          <w:rFonts w:hint="eastAsia" w:ascii="黑体" w:hAnsi="黑体" w:eastAsia="黑体" w:cs="黑体"/>
          <w:kern w:val="2"/>
          <w:sz w:val="32"/>
          <w:szCs w:val="32"/>
          <w:lang w:val="en-US" w:eastAsia="zh-CN" w:bidi="ar-SA"/>
        </w:rPr>
        <w:t>推动消费金融创新</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leftChars="0" w:right="0" w:firstLine="640" w:firstLineChars="200"/>
        <w:jc w:val="both"/>
        <w:textAlignment w:val="auto"/>
        <w:rPr>
          <w:rFonts w:hint="default" w:ascii="仿宋_GB2312" w:hAnsi="仿宋_GB2312" w:eastAsia="仿宋_GB2312" w:cs="仿宋_GB2312"/>
          <w:kern w:val="0"/>
          <w:sz w:val="32"/>
          <w:szCs w:val="32"/>
          <w:lang w:val="en-US" w:eastAsia="zh-CN" w:bidi="ar"/>
        </w:rPr>
      </w:pPr>
      <w:r>
        <w:rPr>
          <w:rFonts w:hint="default" w:ascii="仿宋_GB2312" w:hAnsi="仿宋_GB2312" w:eastAsia="仿宋_GB2312" w:cs="仿宋_GB2312"/>
          <w:kern w:val="0"/>
          <w:sz w:val="32"/>
          <w:szCs w:val="32"/>
          <w:lang w:eastAsia="zh-CN" w:bidi="ar"/>
        </w:rPr>
        <w:t>我市印发</w:t>
      </w:r>
      <w:r>
        <w:rPr>
          <w:rFonts w:hint="default" w:ascii="仿宋_GB2312" w:hAnsi="仿宋_GB2312" w:eastAsia="仿宋_GB2312" w:cs="仿宋_GB2312"/>
          <w:kern w:val="0"/>
          <w:sz w:val="32"/>
          <w:szCs w:val="32"/>
          <w:lang w:val="en-US" w:eastAsia="zh-CN" w:bidi="ar"/>
        </w:rPr>
        <w:t>《深圳市提振消费专项行动实施方案》</w:t>
      </w:r>
      <w:r>
        <w:rPr>
          <w:rFonts w:hint="default" w:ascii="仿宋_GB2312" w:hAnsi="仿宋_GB2312" w:eastAsia="仿宋_GB2312" w:cs="仿宋_GB2312"/>
          <w:kern w:val="0"/>
          <w:sz w:val="32"/>
          <w:szCs w:val="32"/>
          <w:lang w:eastAsia="zh-CN" w:bidi="ar"/>
        </w:rPr>
        <w:t>，明确提出</w:t>
      </w:r>
      <w:r>
        <w:rPr>
          <w:rFonts w:hint="default" w:ascii="仿宋_GB2312" w:hAnsi="仿宋_GB2312" w:eastAsia="仿宋_GB2312" w:cs="仿宋_GB2312"/>
          <w:kern w:val="0"/>
          <w:sz w:val="32"/>
          <w:szCs w:val="32"/>
          <w:lang w:val="en-US" w:eastAsia="zh-CN" w:bidi="ar"/>
        </w:rPr>
        <w:t>支持消费及文旅项目发行基础设施领域不动产投资信托基金（REITs）。推动消费、文化旅游等领域基础设施提升运营管理水平，支持符合条件的项目发行基础设施REITs。加大消费信贷投放力度。引导金融机构增加对批发零售、住宿餐饮、文化旅游、教育培训、健康养老等消费服务行业的信贷投放，在风险可控前提下加大个人消费贷款投放力度，适当提高贷款额度、延长贷款期限、合理设置贷款利率，支持对信用良好但短期资金困难的借款人延长还款周期、提供续贷服务。按照国家</w:t>
      </w:r>
      <w:r>
        <w:rPr>
          <w:rFonts w:hint="default" w:ascii="仿宋_GB2312" w:hAnsi="仿宋_GB2312" w:eastAsia="仿宋_GB2312" w:cs="仿宋_GB2312"/>
          <w:kern w:val="0"/>
          <w:sz w:val="32"/>
          <w:szCs w:val="32"/>
          <w:lang w:eastAsia="zh-CN" w:bidi="ar"/>
        </w:rPr>
        <w:t>最新</w:t>
      </w:r>
      <w:r>
        <w:rPr>
          <w:rFonts w:hint="default" w:ascii="仿宋_GB2312" w:hAnsi="仿宋_GB2312" w:eastAsia="仿宋_GB2312" w:cs="仿宋_GB2312"/>
          <w:kern w:val="0"/>
          <w:sz w:val="32"/>
          <w:szCs w:val="32"/>
          <w:lang w:val="en-US" w:eastAsia="zh-CN" w:bidi="ar"/>
        </w:rPr>
        <w:t>部署，对符合条件的个人消费贷款和消费领域服务业经营主体贷款给予贴息</w:t>
      </w:r>
      <w:r>
        <w:rPr>
          <w:rFonts w:hint="default" w:ascii="仿宋_GB2312" w:hAnsi="仿宋_GB2312" w:eastAsia="仿宋_GB2312" w:cs="仿宋_GB2312"/>
          <w:kern w:val="0"/>
          <w:sz w:val="32"/>
          <w:szCs w:val="32"/>
          <w:lang w:eastAsia="zh-CN" w:bidi="ar"/>
        </w:rPr>
        <w:t>支持</w:t>
      </w:r>
      <w:r>
        <w:rPr>
          <w:rFonts w:hint="default" w:ascii="仿宋_GB2312" w:hAnsi="仿宋_GB2312" w:eastAsia="仿宋_GB2312" w:cs="仿宋_GB2312"/>
          <w:kern w:val="0"/>
          <w:sz w:val="32"/>
          <w:szCs w:val="32"/>
          <w:lang w:val="en-US" w:eastAsia="zh-CN" w:bidi="ar"/>
        </w:rPr>
        <w:t>。支持保险机构优化产品和服务，探索开发支持无理由退换货服务的保险产品，针对数字、绿色、智能等新型消费场景量身定制金融产品，创新优化新能源汽车和经营性民用无人驾驶航空飞行器保险供给，加大电动自行车保险推广力度。探索建立地方医疗数据授权运营机制，支持保险公司开发更多养老、医疗等健康险种，将医疗新技术、新药品、新器械应用纳入保障范围，鼓励面向老年人、慢病患者等群体提供保险产品，推动商业健康保险与健康管理深度融合。</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leftChars="0"/>
        <w:jc w:val="left"/>
        <w:textAlignment w:val="auto"/>
        <w:rPr>
          <w:rFonts w:hint="default" w:ascii="黑体" w:hAnsi="黑体" w:eastAsia="黑体" w:cs="黑体"/>
          <w:kern w:val="2"/>
          <w:sz w:val="32"/>
          <w:szCs w:val="32"/>
          <w:lang w:eastAsia="zh-CN" w:bidi="ar-SA"/>
        </w:rPr>
      </w:pPr>
      <w:r>
        <w:rPr>
          <w:rFonts w:hint="default" w:ascii="仿宋_GB2312" w:hAnsi="仿宋_GB2312" w:eastAsia="仿宋_GB2312" w:cs="仿宋_GB2312"/>
          <w:kern w:val="0"/>
          <w:sz w:val="32"/>
          <w:szCs w:val="32"/>
          <w:lang w:eastAsia="zh-CN" w:bidi="ar"/>
        </w:rPr>
        <w:t xml:space="preserve">    </w:t>
      </w:r>
      <w:r>
        <w:rPr>
          <w:rFonts w:hint="default" w:ascii="黑体" w:hAnsi="黑体" w:eastAsia="黑体" w:cs="黑体"/>
          <w:kern w:val="2"/>
          <w:sz w:val="32"/>
          <w:szCs w:val="32"/>
          <w:lang w:eastAsia="zh-CN" w:bidi="ar-SA"/>
        </w:rPr>
        <w:t>五、</w:t>
      </w:r>
      <w:r>
        <w:rPr>
          <w:rFonts w:hint="eastAsia" w:ascii="黑体" w:hAnsi="黑体" w:eastAsia="黑体" w:cs="黑体"/>
          <w:kern w:val="2"/>
          <w:sz w:val="32"/>
          <w:szCs w:val="32"/>
          <w:lang w:val="en-US" w:eastAsia="zh-CN" w:bidi="ar-SA"/>
        </w:rPr>
        <w:t>支持企业全球化布局</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leftChars="0" w:firstLine="640" w:firstLineChars="200"/>
        <w:jc w:val="both"/>
        <w:textAlignment w:val="auto"/>
        <w:rPr>
          <w:rFonts w:hint="default" w:ascii="仿宋_GB2312" w:hAnsi="仿宋_GB2312" w:eastAsia="仿宋_GB2312" w:cs="仿宋_GB2312"/>
          <w:kern w:val="0"/>
          <w:sz w:val="32"/>
          <w:szCs w:val="32"/>
          <w:lang w:val="en-US" w:eastAsia="zh-CN" w:bidi="ar"/>
        </w:rPr>
      </w:pPr>
      <w:r>
        <w:rPr>
          <w:rFonts w:hint="default" w:ascii="仿宋_GB2312" w:hAnsi="仿宋_GB2312" w:eastAsia="仿宋_GB2312" w:cs="仿宋_GB2312"/>
          <w:kern w:val="0"/>
          <w:sz w:val="32"/>
          <w:szCs w:val="32"/>
          <w:lang w:val="en-US" w:eastAsia="zh-CN" w:bidi="ar"/>
        </w:rPr>
        <w:t>积极搭建供需对接平台</w:t>
      </w:r>
      <w:r>
        <w:rPr>
          <w:rFonts w:hint="default" w:ascii="仿宋_GB2312" w:hAnsi="仿宋_GB2312" w:eastAsia="仿宋_GB2312" w:cs="仿宋_GB2312"/>
          <w:kern w:val="0"/>
          <w:sz w:val="32"/>
          <w:szCs w:val="32"/>
          <w:lang w:eastAsia="zh-CN" w:bidi="ar"/>
        </w:rPr>
        <w:t>，</w:t>
      </w:r>
      <w:r>
        <w:rPr>
          <w:rFonts w:hint="default" w:ascii="仿宋_GB2312" w:hAnsi="仿宋_GB2312" w:eastAsia="仿宋_GB2312" w:cs="仿宋_GB2312"/>
          <w:kern w:val="0"/>
          <w:sz w:val="32"/>
          <w:szCs w:val="32"/>
          <w:lang w:val="en-US" w:eastAsia="zh-CN" w:bidi="ar"/>
        </w:rPr>
        <w:t>高质量举办产业对接活动，开展智能穿戴、智能家居、数码产品等领域深圳手信评选和宣传推广，2025年举办产业对接会超100场、覆盖企业超5000家次。联合深圳主要商协会组织以及海外平台、客商、买手定期开展深企出海资源对接会，帮助企业开拓海外市场。4月15日，由深圳市工业和信息化局、深圳市中小企业服务局联合深圳市商务局主办，深圳市工业展览馆承办的“携手共赢”内外贸一体化拓展市场对接会在市工业展览馆召开。天猫国际、京东集团、华润万家、苏宁易购、天虹数科、美团、盒马、小虎奕循科技、物美集团等11家国内零售批发龙头企业及头部电商平台、70余家深圳重点制造业企业和相关协会代表参加了本次活动。</w:t>
      </w:r>
      <w:r>
        <w:rPr>
          <w:rFonts w:hint="default" w:ascii="仿宋_GB2312" w:hAnsi="仿宋_GB2312" w:eastAsia="仿宋_GB2312" w:cs="仿宋_GB2312"/>
          <w:kern w:val="0"/>
          <w:sz w:val="32"/>
          <w:szCs w:val="32"/>
          <w:lang w:eastAsia="zh-CN" w:bidi="ar"/>
        </w:rPr>
        <w:t>通过此项活动</w:t>
      </w:r>
      <w:r>
        <w:rPr>
          <w:rFonts w:hint="default" w:ascii="仿宋_GB2312" w:hAnsi="仿宋_GB2312" w:eastAsia="仿宋_GB2312" w:cs="仿宋_GB2312"/>
          <w:kern w:val="0"/>
          <w:sz w:val="32"/>
          <w:szCs w:val="32"/>
          <w:lang w:val="en-US" w:eastAsia="zh-CN" w:bidi="ar"/>
        </w:rPr>
        <w:t>帮助更多深圳企业找市场、拓渠道、亮品牌，实现高质量发展。</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60" w:lineRule="exact"/>
        <w:ind w:leftChars="0" w:firstLine="640" w:firstLineChars="200"/>
        <w:jc w:val="both"/>
        <w:textAlignment w:val="auto"/>
        <w:rPr>
          <w:rFonts w:hint="eastAsia" w:ascii="黑体" w:hAnsi="黑体" w:eastAsia="黑体" w:cs="黑体"/>
          <w:kern w:val="2"/>
          <w:sz w:val="32"/>
          <w:szCs w:val="32"/>
          <w:lang w:val="en-US" w:eastAsia="zh-CN" w:bidi="ar-SA"/>
        </w:rPr>
      </w:pPr>
      <w:r>
        <w:rPr>
          <w:rFonts w:hint="default" w:ascii="黑体" w:hAnsi="黑体" w:eastAsia="黑体" w:cs="黑体"/>
          <w:kern w:val="2"/>
          <w:sz w:val="32"/>
          <w:szCs w:val="32"/>
          <w:lang w:eastAsia="zh-CN" w:bidi="ar-SA"/>
        </w:rPr>
        <w:t>六、</w:t>
      </w:r>
      <w:r>
        <w:rPr>
          <w:rFonts w:hint="eastAsia" w:ascii="黑体" w:hAnsi="黑体" w:eastAsia="黑体" w:cs="黑体"/>
          <w:kern w:val="2"/>
          <w:sz w:val="32"/>
          <w:szCs w:val="32"/>
          <w:lang w:val="en-US" w:eastAsia="zh-CN" w:bidi="ar-SA"/>
        </w:rPr>
        <w:t>延长财政补贴周期，扩大品类</w:t>
      </w:r>
    </w:p>
    <w:p>
      <w:pPr>
        <w:keepNext w:val="0"/>
        <w:keepLines w:val="0"/>
        <w:pageBreakBefore w:val="0"/>
        <w:widowControl/>
        <w:numPr>
          <w:ilvl w:val="-1"/>
          <w:numId w:val="0"/>
        </w:numPr>
        <w:kinsoku/>
        <w:wordWrap/>
        <w:overflowPunct/>
        <w:topLinePunct w:val="0"/>
        <w:autoSpaceDE/>
        <w:autoSpaceDN/>
        <w:bidi w:val="0"/>
        <w:adjustRightInd w:val="0"/>
        <w:snapToGrid w:val="0"/>
        <w:spacing w:line="560" w:lineRule="exact"/>
        <w:ind w:leftChars="0" w:firstLine="640" w:firstLineChars="200"/>
        <w:jc w:val="left"/>
        <w:textAlignment w:val="auto"/>
        <w:rPr>
          <w:rFonts w:hint="default" w:ascii="仿宋_GB2312" w:hAnsi="仿宋_GB2312" w:eastAsia="仿宋_GB2312" w:cs="仿宋_GB2312"/>
          <w:b/>
          <w:bCs/>
          <w:sz w:val="32"/>
          <w:szCs w:val="32"/>
          <w:lang w:eastAsia="zh-CN"/>
        </w:rPr>
      </w:pPr>
      <w:r>
        <w:rPr>
          <w:rFonts w:hint="default"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我市</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认真</w:t>
      </w:r>
      <w:r>
        <w:rPr>
          <w:rStyle w:val="9"/>
          <w:rFonts w:hint="eastAsia" w:ascii="仿宋_GB2312" w:hAnsi="仿宋_GB2312" w:eastAsia="仿宋_GB2312" w:cs="仿宋_GB2312"/>
          <w:i w:val="0"/>
          <w:iCs w:val="0"/>
          <w:caps w:val="0"/>
          <w:color w:val="000000" w:themeColor="text1"/>
          <w:spacing w:val="0"/>
          <w:kern w:val="2"/>
          <w:sz w:val="32"/>
          <w:szCs w:val="32"/>
          <w:highlight w:val="none"/>
          <w:shd w:val="clear" w:fill="FFFFFF"/>
          <w:lang w:val="en-US" w:eastAsia="zh-CN" w:bidi="ar"/>
          <w14:textFill>
            <w14:solidFill>
              <w14:schemeClr w14:val="tx1"/>
            </w14:solidFill>
          </w14:textFill>
        </w:rPr>
        <w:t>落实</w:t>
      </w:r>
      <w:r>
        <w:rPr>
          <w:rStyle w:val="9"/>
          <w:rFonts w:hint="default" w:ascii="仿宋_GB2312" w:hAnsi="仿宋_GB2312" w:eastAsia="仿宋_GB2312" w:cs="仿宋_GB2312"/>
          <w:i w:val="0"/>
          <w:iCs w:val="0"/>
          <w:caps w:val="0"/>
          <w:color w:val="000000" w:themeColor="text1"/>
          <w:spacing w:val="0"/>
          <w:kern w:val="2"/>
          <w:sz w:val="32"/>
          <w:szCs w:val="32"/>
          <w:highlight w:val="none"/>
          <w:shd w:val="clear"/>
          <w:lang w:eastAsia="zh-CN" w:bidi="ar"/>
          <w14:textFill>
            <w14:solidFill>
              <w14:schemeClr w14:val="tx1"/>
            </w14:solidFill>
          </w14:textFill>
        </w:rPr>
        <w:t>国家要求</w:t>
      </w:r>
      <w:r>
        <w:rPr>
          <w:rStyle w:val="9"/>
          <w:rFonts w:hint="eastAsia" w:ascii="仿宋_GB2312" w:hAnsi="仿宋_GB2312" w:eastAsia="仿宋_GB2312" w:cs="仿宋_GB2312"/>
          <w:i w:val="0"/>
          <w:iCs w:val="0"/>
          <w:caps w:val="0"/>
          <w:color w:val="000000" w:themeColor="text1"/>
          <w:spacing w:val="0"/>
          <w:kern w:val="2"/>
          <w:sz w:val="32"/>
          <w:szCs w:val="32"/>
          <w:highlight w:val="none"/>
          <w:shd w:val="clear" w:fill="FFFFFF"/>
          <w:lang w:val="en-US" w:eastAsia="zh-CN" w:bidi="ar"/>
          <w14:textFill>
            <w14:solidFill>
              <w14:schemeClr w14:val="tx1"/>
            </w14:solidFill>
          </w14:textFill>
        </w:rPr>
        <w:t>，</w:t>
      </w:r>
      <w:r>
        <w:rPr>
          <w:rStyle w:val="9"/>
          <w:rFonts w:hint="default" w:ascii="仿宋_GB2312" w:hAnsi="仿宋_GB2312" w:eastAsia="仿宋_GB2312" w:cs="仿宋_GB2312"/>
          <w:i w:val="0"/>
          <w:iCs w:val="0"/>
          <w:caps w:val="0"/>
          <w:color w:val="000000" w:themeColor="text1"/>
          <w:spacing w:val="0"/>
          <w:kern w:val="2"/>
          <w:sz w:val="32"/>
          <w:szCs w:val="32"/>
          <w:highlight w:val="none"/>
          <w:shd w:val="clear"/>
          <w:lang w:eastAsia="zh-CN" w:bidi="ar"/>
          <w14:textFill>
            <w14:solidFill>
              <w14:schemeClr w14:val="tx1"/>
            </w14:solidFill>
          </w14:textFill>
        </w:rPr>
        <w:t>结合中央下达资金规模，注重时序性和均衡性，落实好以旧换新政策。</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根据《深圳市超长期特别国债资金加力扩围支持消费品以旧换新实施方案(2025年)》(深发改〔2025〕146号)，牵头负责汽车报废更新、置换更新、家电产品以旧换新、数码产品购新补贴和电动自行车以旧换新工作，建立部门协作、市区联动的工作推进机制，组织生产企业、销售企业、平台企业、金融机构共同参与，线上线下联动激发消费潜力。在国家明确支持的12类家电、3类数码产品基础上，将我市重点优势产品纳入支持范围，包括消费级机器人、投影仪、显示屏、咖啡机等，支持线上线下“即买即享”</w:t>
      </w:r>
      <w:r>
        <w:rPr>
          <w:rFonts w:hint="default"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leftChars="0" w:firstLine="640" w:firstLineChars="200"/>
        <w:jc w:val="both"/>
        <w:textAlignment w:val="auto"/>
        <w:rPr>
          <w:rFonts w:hint="eastAsia" w:ascii="黑体" w:hAnsi="黑体" w:eastAsia="黑体" w:cs="黑体"/>
          <w:kern w:val="0"/>
          <w:sz w:val="32"/>
          <w:szCs w:val="32"/>
          <w:lang w:eastAsia="zh-CN" w:bidi="ar"/>
        </w:rPr>
      </w:pPr>
      <w:r>
        <w:rPr>
          <w:rFonts w:hint="eastAsia" w:ascii="黑体" w:hAnsi="黑体" w:eastAsia="黑体" w:cs="黑体"/>
          <w:kern w:val="0"/>
          <w:sz w:val="32"/>
          <w:szCs w:val="32"/>
          <w:lang w:eastAsia="zh-CN" w:bidi="ar"/>
        </w:rPr>
        <w:t>七、优化消费券发放机制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leftChars="0" w:right="0" w:firstLine="640" w:firstLineChars="200"/>
        <w:jc w:val="both"/>
        <w:textAlignment w:val="auto"/>
        <w:rPr>
          <w:rFonts w:hint="default" w:ascii="仿宋_GB2312" w:hAnsi="仿宋_GB2312" w:eastAsia="仿宋_GB2312" w:cs="仿宋_GB2312"/>
          <w:kern w:val="0"/>
          <w:sz w:val="32"/>
          <w:szCs w:val="32"/>
          <w:lang w:val="en-US" w:eastAsia="zh-CN" w:bidi="ar"/>
        </w:rPr>
      </w:pPr>
      <w:r>
        <w:rPr>
          <w:rFonts w:hint="default" w:ascii="仿宋_GB2312" w:hAnsi="仿宋_GB2312" w:eastAsia="仿宋_GB2312" w:cs="仿宋_GB2312"/>
          <w:kern w:val="0"/>
          <w:sz w:val="32"/>
          <w:szCs w:val="32"/>
          <w:lang w:eastAsia="zh-CN" w:bidi="ar"/>
        </w:rPr>
        <w:t>今年以来，我市通过增加消费品以旧换新的线下参与商户和线上平台企业，新增微信等申请通道，加大宣传服务力度，进一步便利全市市民申领和使用消费券。此外，今年</w:t>
      </w:r>
      <w:r>
        <w:rPr>
          <w:rFonts w:hint="default" w:ascii="仿宋_GB2312" w:hAnsi="仿宋_GB2312" w:eastAsia="仿宋_GB2312" w:cs="仿宋_GB2312"/>
          <w:kern w:val="0"/>
          <w:sz w:val="32"/>
          <w:szCs w:val="32"/>
          <w:lang w:val="en-US" w:eastAsia="zh-CN" w:bidi="ar"/>
        </w:rPr>
        <w:t>深圳市文化广电旅游体育局联合携程、Klook等平台，推出夏日惊喜消费券发放活动，涵盖住宿、景区门票、度假线路等多个文旅消费场景，</w:t>
      </w:r>
      <w:r>
        <w:rPr>
          <w:rFonts w:hint="default" w:ascii="仿宋_GB2312" w:hAnsi="仿宋_GB2312" w:eastAsia="仿宋_GB2312" w:cs="仿宋_GB2312"/>
          <w:kern w:val="0"/>
          <w:sz w:val="32"/>
          <w:szCs w:val="32"/>
          <w:lang w:eastAsia="zh-CN" w:bidi="ar"/>
        </w:rPr>
        <w:t>通过票根消费，推动各个场景的联动，更加精准的服务潜在消费者，</w:t>
      </w:r>
      <w:r>
        <w:rPr>
          <w:rFonts w:hint="default" w:ascii="仿宋_GB2312" w:hAnsi="仿宋_GB2312" w:eastAsia="仿宋_GB2312" w:cs="仿宋_GB2312"/>
          <w:kern w:val="0"/>
          <w:sz w:val="32"/>
          <w:szCs w:val="32"/>
          <w:lang w:val="en-US" w:eastAsia="zh-CN" w:bidi="ar"/>
        </w:rPr>
        <w:t>以实实在在的优惠举措，激活文旅消费市场，丰富市民和游客夏日文化旅游体验。</w:t>
      </w:r>
    </w:p>
    <w:p>
      <w:pPr>
        <w:keepNext w:val="0"/>
        <w:keepLines w:val="0"/>
        <w:pageBreakBefore w:val="0"/>
        <w:kinsoku/>
        <w:wordWrap/>
        <w:overflowPunct/>
        <w:topLinePunct w:val="0"/>
        <w:autoSpaceDE/>
        <w:autoSpaceDN/>
        <w:bidi w:val="0"/>
        <w:adjustRightInd w:val="0"/>
        <w:snapToGrid w:val="0"/>
        <w:spacing w:line="560" w:lineRule="exact"/>
        <w:ind w:leftChars="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专此答复，再次感谢您对深圳发展的关心与支持！</w:t>
      </w:r>
    </w:p>
    <w:p>
      <w:pPr>
        <w:pStyle w:val="2"/>
        <w:keepNext w:val="0"/>
        <w:keepLines w:val="0"/>
        <w:pageBreakBefore w:val="0"/>
        <w:kinsoku/>
        <w:wordWrap/>
        <w:overflowPunct/>
        <w:topLinePunct w:val="0"/>
        <w:autoSpaceDE/>
        <w:autoSpaceDN/>
        <w:bidi w:val="0"/>
        <w:adjustRightInd/>
        <w:snapToGrid/>
        <w:spacing w:line="560" w:lineRule="exact"/>
        <w:ind w:leftChars="0"/>
        <w:textAlignment w:val="auto"/>
        <w:rPr>
          <w:rFonts w:hint="eastAsia" w:ascii="仿宋_GB2312" w:hAnsi="仿宋_GB2312" w:eastAsia="仿宋_GB2312" w:cs="仿宋_GB2312"/>
          <w:b w:val="0"/>
          <w:bCs w:val="0"/>
          <w:sz w:val="32"/>
          <w:szCs w:val="32"/>
          <w:lang w:val="en-US" w:eastAsia="zh-CN"/>
        </w:rPr>
      </w:pPr>
    </w:p>
    <w:p>
      <w:pPr>
        <w:pStyle w:val="2"/>
        <w:keepNext w:val="0"/>
        <w:keepLines w:val="0"/>
        <w:pageBreakBefore w:val="0"/>
        <w:kinsoku/>
        <w:wordWrap/>
        <w:overflowPunct/>
        <w:topLinePunct w:val="0"/>
        <w:autoSpaceDE/>
        <w:autoSpaceDN/>
        <w:bidi w:val="0"/>
        <w:adjustRightInd/>
        <w:snapToGrid/>
        <w:spacing w:line="560" w:lineRule="exact"/>
        <w:ind w:leftChars="0"/>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Chars="0" w:firstLine="480" w:firstLineChars="150"/>
        <w:jc w:val="left"/>
        <w:textAlignment w:val="auto"/>
        <w:rPr>
          <w:rFonts w:ascii="仿宋_GB2312" w:eastAsia="仿宋_GB2312"/>
          <w:sz w:val="32"/>
          <w:szCs w:val="32"/>
          <w:highlight w:val="none"/>
        </w:rPr>
      </w:pPr>
      <w:r>
        <w:rPr>
          <w:rFonts w:hint="default" w:ascii="仿宋_GB2312" w:eastAsia="仿宋_GB2312"/>
          <w:sz w:val="32"/>
          <w:szCs w:val="32"/>
          <w:highlight w:val="none"/>
        </w:rPr>
        <w:t xml:space="preserve">                 </w:t>
      </w:r>
      <w:r>
        <w:rPr>
          <w:rFonts w:hint="default" w:ascii="仿宋_GB2312" w:eastAsia="仿宋_GB2312"/>
          <w:sz w:val="32"/>
          <w:szCs w:val="32"/>
          <w:highlight w:val="none"/>
          <w:lang w:val="en-US"/>
        </w:rPr>
        <w:t xml:space="preserve">  </w:t>
      </w:r>
      <w:r>
        <w:rPr>
          <w:rFonts w:hint="default" w:ascii="仿宋_GB2312" w:eastAsia="仿宋_GB2312"/>
          <w:sz w:val="32"/>
          <w:szCs w:val="32"/>
          <w:highlight w:val="none"/>
        </w:rPr>
        <w:t xml:space="preserve">          </w:t>
      </w:r>
      <w:r>
        <w:rPr>
          <w:rFonts w:ascii="仿宋_GB2312" w:eastAsia="仿宋_GB2312"/>
          <w:sz w:val="32"/>
          <w:szCs w:val="32"/>
          <w:highlight w:val="none"/>
        </w:rPr>
        <w:t>深圳市商务局</w:t>
      </w:r>
    </w:p>
    <w:p>
      <w:pPr>
        <w:keepNext w:val="0"/>
        <w:keepLines w:val="0"/>
        <w:pageBreakBefore w:val="0"/>
        <w:widowControl w:val="0"/>
        <w:kinsoku/>
        <w:wordWrap/>
        <w:overflowPunct/>
        <w:topLinePunct w:val="0"/>
        <w:autoSpaceDE/>
        <w:autoSpaceDN/>
        <w:bidi w:val="0"/>
        <w:adjustRightInd/>
        <w:snapToGrid/>
        <w:spacing w:line="560" w:lineRule="exact"/>
        <w:ind w:leftChars="0" w:firstLine="480" w:firstLineChars="150"/>
        <w:jc w:val="center"/>
        <w:textAlignment w:val="auto"/>
        <w:rPr>
          <w:rFonts w:ascii="仿宋_GB2312" w:eastAsia="仿宋_GB2312"/>
          <w:sz w:val="32"/>
          <w:szCs w:val="32"/>
          <w:highlight w:val="none"/>
        </w:rPr>
      </w:pPr>
      <w:r>
        <w:rPr>
          <w:rFonts w:hint="default" w:ascii="仿宋_GB2312" w:eastAsia="仿宋_GB2312"/>
          <w:sz w:val="32"/>
          <w:szCs w:val="32"/>
          <w:highlight w:val="none"/>
        </w:rPr>
        <w:t xml:space="preserve">                  </w:t>
      </w:r>
      <w:r>
        <w:rPr>
          <w:rFonts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ascii="仿宋_GB2312" w:eastAsia="仿宋_GB2312"/>
          <w:sz w:val="32"/>
          <w:szCs w:val="32"/>
          <w:highlight w:val="none"/>
        </w:rPr>
        <w:t>年</w:t>
      </w:r>
      <w:r>
        <w:rPr>
          <w:rFonts w:hint="eastAsia" w:ascii="仿宋_GB2312" w:eastAsia="仿宋_GB2312"/>
          <w:sz w:val="32"/>
          <w:szCs w:val="32"/>
          <w:highlight w:val="none"/>
          <w:lang w:val="en-US" w:eastAsia="zh-CN"/>
        </w:rPr>
        <w:t>8</w:t>
      </w:r>
      <w:r>
        <w:rPr>
          <w:rFonts w:ascii="仿宋_GB2312" w:eastAsia="仿宋_GB2312"/>
          <w:sz w:val="32"/>
          <w:szCs w:val="32"/>
          <w:highlight w:val="none"/>
        </w:rPr>
        <w:t>月</w:t>
      </w:r>
      <w:r>
        <w:rPr>
          <w:rFonts w:hint="default" w:ascii="仿宋_GB2312" w:eastAsia="仿宋_GB2312"/>
          <w:sz w:val="32"/>
          <w:szCs w:val="32"/>
          <w:highlight w:val="none"/>
          <w:lang w:val="en-US" w:eastAsia="zh-CN"/>
        </w:rPr>
        <w:t>15</w:t>
      </w:r>
      <w:r>
        <w:rPr>
          <w:rFonts w:ascii="仿宋_GB2312" w:eastAsia="仿宋_GB2312"/>
          <w:sz w:val="32"/>
          <w:szCs w:val="32"/>
          <w:highlight w:val="none"/>
        </w:rPr>
        <w:t>日</w:t>
      </w:r>
    </w:p>
    <w:p>
      <w:pPr>
        <w:keepNext w:val="0"/>
        <w:keepLines w:val="0"/>
        <w:pageBreakBefore w:val="0"/>
        <w:widowControl w:val="0"/>
        <w:kinsoku/>
        <w:wordWrap/>
        <w:overflowPunct/>
        <w:topLinePunct w:val="0"/>
        <w:autoSpaceDE/>
        <w:autoSpaceDN/>
        <w:bidi w:val="0"/>
        <w:adjustRightInd/>
        <w:snapToGrid/>
        <w:spacing w:line="560" w:lineRule="exact"/>
        <w:ind w:leftChars="0" w:firstLine="480" w:firstLineChars="150"/>
        <w:jc w:val="center"/>
        <w:textAlignment w:val="auto"/>
        <w:rPr>
          <w:rFonts w:ascii="仿宋_GB2312" w:eastAsia="仿宋_GB2312"/>
          <w:sz w:val="32"/>
          <w:szCs w:val="32"/>
          <w:highlight w:val="none"/>
        </w:rPr>
      </w:pP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0" w:right="0" w:rightChars="0" w:firstLine="640" w:firstLineChars="200"/>
        <w:jc w:val="both"/>
        <w:textAlignment w:val="auto"/>
        <w:rPr>
          <w:rFonts w:hint="default" w:ascii="黑体" w:hAnsi="黑体" w:eastAsia="黑体" w:cs="黑体"/>
          <w:kern w:val="2"/>
          <w:sz w:val="32"/>
          <w:szCs w:val="32"/>
          <w:lang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仿宋_GB2312" w:hAnsi="仿宋_GB2312" w:eastAsia="仿宋_GB2312" w:cs="仿宋_GB2312"/>
          <w:kern w:val="0"/>
          <w:sz w:val="32"/>
          <w:szCs w:val="32"/>
          <w:lang w:eastAsia="zh-CN" w:bidi="ar"/>
        </w:rPr>
      </w:pPr>
      <w:bookmarkStart w:id="0" w:name="_GoBack"/>
      <w:bookmarkEnd w:id="0"/>
    </w:p>
    <w:sectPr>
      <w:footerReference r:id="rId3" w:type="default"/>
      <w:pgSz w:w="11906" w:h="16838"/>
      <w:pgMar w:top="1814" w:right="1474" w:bottom="181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Arial Unicode MS">
    <w:altName w:val="DejaVu Sans"/>
    <w:panose1 w:val="020B0604020202020204"/>
    <w:charset w:val="00"/>
    <w:family w:val="roman"/>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sans-serif">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661CC0"/>
    <w:rsid w:val="3F771100"/>
    <w:rsid w:val="6C5907EF"/>
    <w:rsid w:val="6CBDC74A"/>
    <w:rsid w:val="72BF91FB"/>
    <w:rsid w:val="75DE3AD4"/>
    <w:rsid w:val="7BFFE813"/>
    <w:rsid w:val="F66EA727"/>
    <w:rsid w:val="F8F71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szCs w:val="24"/>
    </w:rPr>
  </w:style>
  <w:style w:type="paragraph" w:styleId="3">
    <w:name w:val="Body Text"/>
    <w:basedOn w:val="1"/>
    <w:next w:val="1"/>
    <w:uiPriority w:val="0"/>
    <w:pPr>
      <w:spacing w:before="15"/>
      <w:ind w:left="1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Emphasis"/>
    <w:basedOn w:val="9"/>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2022-08-09T01:03:00Z</dcterms:created>
  <dc:creator>禾禾</dc:creator>
  <cp:lastModifiedBy>文件收发（黄俊源）</cp:lastModifiedBy>
  <cp:lastPrinted>2022-08-11T19:42:00Z</cp:lastPrinted>
  <dcterms:modified xsi:type="dcterms:W3CDTF">2025-11-04T16:20:23Z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KSOTemplateDocerSaveRecord">
    <vt:lpwstr>eyJoZGlkIjoiYmUxZmZmOTdjZjc4NWRhODk0MTg5Yzk1YjAwOTA3ZWIiLCJ1c2VySWQiOiI3MjE3Mzg2NDcifQ==</vt:lpwstr>
  </property>
  <property fmtid="{D5CDD505-2E9C-101B-9397-08002B2CF9AE}" pid="4" name="ICV">
    <vt:lpwstr>40AA5C334D9D473E888E17C247B592D4_12</vt:lpwstr>
  </property>
</Properties>
</file>