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Times New Roman" w:eastAsia="方正小标宋简体" w:cs="Times New Roman"/>
          <w:sz w:val="44"/>
          <w:szCs w:val="44"/>
          <w:highlight w:val="none"/>
          <w:lang w:val="en-US" w:eastAsia="zh-CN"/>
        </w:rPr>
        <w:t>深圳市</w:t>
      </w:r>
      <w:r>
        <w:rPr>
          <w:rFonts w:hint="eastAsia" w:ascii="方正小标宋_GBK" w:hAnsi="方正小标宋_GBK" w:eastAsia="方正小标宋_GBK" w:cs="方正小标宋_GBK"/>
          <w:sz w:val="44"/>
          <w:szCs w:val="44"/>
          <w:lang w:val="en-US" w:eastAsia="zh-CN"/>
        </w:rPr>
        <w:t>商务局关于对市政协七届五次会议第20250534号建议答复意见的函</w:t>
      </w:r>
    </w:p>
    <w:p>
      <w:pPr>
        <w:keepNext w:val="0"/>
        <w:keepLines w:val="0"/>
        <w:pageBreakBefore w:val="0"/>
        <w:kinsoku/>
        <w:overflowPunct/>
        <w:topLinePunct w:val="0"/>
        <w:autoSpaceDE/>
        <w:autoSpaceDN/>
        <w:bidi w:val="0"/>
        <w:spacing w:line="560" w:lineRule="exact"/>
        <w:textAlignment w:val="auto"/>
      </w:pPr>
    </w:p>
    <w:p>
      <w:pPr>
        <w:keepNext w:val="0"/>
        <w:keepLines w:val="0"/>
        <w:pageBreakBefore w:val="0"/>
        <w:kinsoku/>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尊敬的张伟委员：</w:t>
      </w:r>
    </w:p>
    <w:p>
      <w:pPr>
        <w:keepNext w:val="0"/>
        <w:keepLines w:val="0"/>
        <w:pageBreakBefore w:val="0"/>
        <w:kinsoku/>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您在市政协七届五次会议上提出的第20250534号建议《关于深圳市大力提振消费的建议》收悉。非常感谢您对我市消费的关心与支持。经研究，关于“加强消费政策支持、培育本土优质内容，打造</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深圳原创</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次元品牌，促进青少年消费、推动绿色循环消费，构建可持续生态、深化跨境消费便利化，建设大湾区消费枢纽、拓展新兴消费领域，培育增长新动能、优化消费供给结构、提升居民消费能力”的建议，回复如下：</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加强消费政策支持</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市商务局</w:t>
      </w:r>
      <w:r>
        <w:rPr>
          <w:rFonts w:hint="default" w:ascii="仿宋_GB2312" w:hAnsi="仿宋_GB2312" w:eastAsia="仿宋_GB2312" w:cs="仿宋_GB2312"/>
          <w:b w:val="0"/>
          <w:bCs w:val="0"/>
          <w:color w:val="000000" w:themeColor="text1"/>
          <w:kern w:val="2"/>
          <w:sz w:val="32"/>
          <w:szCs w:val="32"/>
          <w:highlight w:val="none"/>
          <w:lang w:eastAsia="zh-CN" w:bidi="ar-SA"/>
          <w14:textFill>
            <w14:solidFill>
              <w14:schemeClr w14:val="tx1"/>
            </w14:solidFill>
          </w14:textFill>
        </w:rPr>
        <w:t>会同市发展改革委</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出台《深圳市提振消费专项行动实施方案》。贯彻落实中央和省关于提振消费的部署要求，协同市发展改革委出台《深圳市提振消费专项行动实施方案》，围绕提升居民消费能力和意愿、加大优质多元消费供给，以及加强政策支持和配套保障等方面，提出39条具体措施，全方位扩大消费需求、繁荣消费市场，加快建设具有全球重要影响力的消费中心。启动2025年促进消费提升扶持计划专项资金申报工作。持续落实《深圳市关于加快建设国际消费中心城市的若干措施》（深商务规〔2022〕2号），受理、审核2025年促进消费提升扶持计划零售额（营业额）增长奖励项目、二手车经销业务奖励项目申报。对批发零售企业中零售额、住宿餐饮企业营业额增长的相关企业，以及符合条件的企业二手车经销额给予一定奖励，全面促进商品零售增长。印发实施《深圳市商业网点规划（202</w:t>
      </w:r>
      <w:r>
        <w:rPr>
          <w:rFonts w:hint="default"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5</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-2035）》。创新性提出构建“四级多元”商业规划体系，推动打造“5个世界级商圈+6个全国级商圈+42个区域级商圈+N个社区级商圈”，加强轨道、口岸商业规划、市内免税店等规划，为各区域商圈建设提供规划指引。研究编制《深圳市关于促进商贸企业创新发展若干措施》实施细则等政策文件，持续加大扩内需政策扶持力度，加力扩围消费品以旧换新，持续推动消费市场扩容提质，打造内贸消费新高地。</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市市场监管局</w:t>
      </w:r>
      <w:r>
        <w:rPr>
          <w:rFonts w:hint="eastAsia" w:ascii="仿宋_GB2312" w:hAnsi="仿宋_GB2312" w:eastAsia="仿宋_GB2312" w:cs="仿宋_GB2312"/>
          <w:sz w:val="32"/>
          <w:szCs w:val="32"/>
          <w:lang w:val="en-US" w:eastAsia="zh-CN"/>
        </w:rPr>
        <w:t>立足将消费者优先导向深入贯穿市场监管的全过程各领域，紧扣市民多样化、多层次、高品质的消费需求，于2025年2月出台“提振消费 扩大内需 营造放心消费环境”10条措施，从“质量标准升级-扩大优质供给-突出问题整治-高效化解纠纷-打造放心示范”等5方面发力，全面营造“能消费、敢消费、愿消费”的优质环境。</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市文化广电体育旅游局</w:t>
      </w:r>
      <w:r>
        <w:rPr>
          <w:rFonts w:hint="eastAsia" w:ascii="仿宋_GB2312" w:hAnsi="仿宋_GB2312" w:eastAsia="仿宋_GB2312" w:cs="仿宋_GB2312"/>
          <w:sz w:val="32"/>
          <w:szCs w:val="32"/>
        </w:rPr>
        <w:t>围绕“五一”、暑假、中秋和国庆假期、“十五运会”等旅游旺季和重大赛事活动,结合文化、非遗、艺术、体育等动态编制深圳旅游年历,常态化开展全市文化和旅游消费促进活动。完善“i深圳”体育场馆一键预约平台的建设和管理制度,接入更多场馆资源,带动文体旅游消费。</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025年</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福田、南山、光明等区开展住宿业消费券发放活动。如福田区发放“岁末宴席优惠券”“年夜饭专属优惠券”等专属餐饮优惠券。婚博会期间推出“幸福宴席消费券”,联动9家规上住宿企业推出“婚宴+客房”套餐,带动成交订单量同比增长130%,预计成交额达822万元,优惠券核发率100%,拉动酒店消费约390万元。</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sz w:val="32"/>
          <w:szCs w:val="32"/>
          <w:u w:val="none" w:color="auto"/>
        </w:rPr>
      </w:pPr>
      <w:r>
        <w:rPr>
          <w:rFonts w:hint="eastAsia" w:ascii="仿宋_GB2312" w:hAnsi="仿宋_GB2312" w:eastAsia="仿宋_GB2312" w:cs="仿宋_GB2312"/>
          <w:b/>
          <w:bCs/>
          <w:sz w:val="32"/>
          <w:szCs w:val="32"/>
          <w:lang w:val="en-US" w:eastAsia="zh-CN"/>
        </w:rPr>
        <w:t>市发展改革委</w:t>
      </w:r>
      <w:r>
        <w:rPr>
          <w:rFonts w:hint="eastAsia" w:ascii="仿宋_GB2312" w:hAnsi="仿宋_GB2312" w:eastAsia="仿宋_GB2312" w:cs="仿宋_GB2312"/>
          <w:sz w:val="32"/>
          <w:szCs w:val="32"/>
          <w:u w:val="none" w:color="auto"/>
          <w:lang w:eastAsia="zh-CN"/>
        </w:rPr>
        <w:t>深入贯彻落实中央经济工作会议精神，落实落细中共中央办公厅、国务院办公厅《提振消费专项行动方案》，正研究制定</w:t>
      </w:r>
      <w:r>
        <w:rPr>
          <w:rFonts w:hint="eastAsia" w:ascii="仿宋_GB2312" w:hAnsi="仿宋_GB2312" w:eastAsia="仿宋_GB2312" w:cs="仿宋_GB2312"/>
          <w:sz w:val="32"/>
          <w:szCs w:val="32"/>
          <w:lang w:val="en-US" w:eastAsia="zh-CN"/>
        </w:rPr>
        <w:t>《深圳市提振消费专项行动实施方案》（以下简称《深圳实施方案》），从提升居民消费能力和意愿、加大优质多元消费供给、加强政策支持和配套保障三方面，明确了目标任务和具体措施</w:t>
      </w:r>
      <w:r>
        <w:rPr>
          <w:rFonts w:hint="eastAsia" w:ascii="仿宋_GB2312" w:hAnsi="仿宋_GB2312" w:eastAsia="仿宋_GB2312" w:cs="仿宋_GB2312"/>
          <w:sz w:val="32"/>
          <w:szCs w:val="32"/>
          <w:u w:val="none" w:color="auto"/>
          <w:lang w:eastAsia="zh-CN"/>
        </w:rPr>
        <w:t>。例如，在强化金融支持方面，拟</w:t>
      </w:r>
      <w:r>
        <w:rPr>
          <w:rFonts w:hint="eastAsia" w:ascii="仿宋_GB2312" w:hAnsi="仿宋_GB2312" w:eastAsia="仿宋_GB2312" w:cs="仿宋_GB2312"/>
          <w:b w:val="0"/>
          <w:bCs w:val="0"/>
          <w:sz w:val="32"/>
          <w:szCs w:val="32"/>
          <w:u w:val="none" w:color="auto"/>
        </w:rPr>
        <w:t>加大消费信贷投放力度</w:t>
      </w:r>
      <w:r>
        <w:rPr>
          <w:rFonts w:hint="eastAsia" w:ascii="仿宋_GB2312" w:hAnsi="仿宋_GB2312" w:eastAsia="仿宋_GB2312" w:cs="仿宋_GB2312"/>
          <w:b w:val="0"/>
          <w:bCs w:val="0"/>
          <w:sz w:val="32"/>
          <w:szCs w:val="32"/>
          <w:u w:val="none" w:color="auto"/>
          <w:lang w:eastAsia="zh-CN"/>
        </w:rPr>
        <w:t>，</w:t>
      </w:r>
      <w:r>
        <w:rPr>
          <w:rFonts w:hint="eastAsia" w:ascii="仿宋_GB2312" w:hAnsi="仿宋_GB2312" w:eastAsia="仿宋_GB2312" w:cs="仿宋_GB2312"/>
          <w:sz w:val="32"/>
          <w:szCs w:val="32"/>
          <w:u w:val="none" w:color="auto"/>
        </w:rPr>
        <w:t>引导金融机构增加对消费服务行业的信贷投放，对符合条件的个人消费贷款和消费领域服务业经营主体贷款给予财政贴息</w:t>
      </w:r>
      <w:r>
        <w:rPr>
          <w:rFonts w:hint="eastAsia" w:ascii="仿宋_GB2312" w:hAnsi="仿宋_GB2312" w:eastAsia="仿宋_GB2312" w:cs="仿宋_GB2312"/>
          <w:sz w:val="32"/>
          <w:szCs w:val="32"/>
          <w:u w:val="none" w:color="auto"/>
          <w:lang w:eastAsia="zh-CN"/>
        </w:rPr>
        <w:t>，同时</w:t>
      </w:r>
      <w:r>
        <w:rPr>
          <w:rFonts w:hint="eastAsia" w:ascii="仿宋_GB2312" w:hAnsi="仿宋_GB2312" w:eastAsia="仿宋_GB2312" w:cs="仿宋_GB2312"/>
          <w:b w:val="0"/>
          <w:bCs w:val="0"/>
          <w:sz w:val="32"/>
          <w:szCs w:val="32"/>
          <w:u w:val="none" w:color="auto"/>
        </w:rPr>
        <w:t>丰富消费保险产品供给，</w:t>
      </w:r>
      <w:r>
        <w:rPr>
          <w:rFonts w:hint="eastAsia" w:ascii="仿宋_GB2312" w:hAnsi="仿宋_GB2312" w:eastAsia="仿宋_GB2312" w:cs="仿宋_GB2312"/>
          <w:sz w:val="32"/>
          <w:szCs w:val="32"/>
          <w:u w:val="none" w:color="auto"/>
        </w:rPr>
        <w:t>探索开发支持无理由退换货服务的保险产品，支持保险公司开发更多养老、医疗等健康险种，将医疗新技术、新药品、新器械应用纳入保障范围</w:t>
      </w:r>
      <w:r>
        <w:rPr>
          <w:rFonts w:hint="eastAsia" w:ascii="仿宋_GB2312" w:hAnsi="仿宋_GB2312" w:eastAsia="仿宋_GB2312" w:cs="仿宋_GB2312"/>
          <w:sz w:val="32"/>
          <w:szCs w:val="32"/>
          <w:u w:val="none" w:color="auto"/>
          <w:lang w:val="en-US" w:eastAsia="zh-CN"/>
        </w:rPr>
        <w:t>等</w:t>
      </w:r>
      <w:r>
        <w:rPr>
          <w:rFonts w:hint="eastAsia" w:ascii="仿宋_GB2312" w:hAnsi="仿宋_GB2312" w:eastAsia="仿宋_GB2312" w:cs="仿宋_GB2312"/>
          <w:sz w:val="32"/>
          <w:szCs w:val="32"/>
          <w:u w:val="none" w:color="auto"/>
          <w:lang w:eastAsia="zh-CN"/>
        </w:rPr>
        <w:t>，</w:t>
      </w:r>
      <w:r>
        <w:rPr>
          <w:rFonts w:hint="eastAsia" w:ascii="仿宋_GB2312" w:hAnsi="仿宋_GB2312" w:eastAsia="仿宋_GB2312" w:cs="仿宋_GB2312"/>
          <w:sz w:val="32"/>
          <w:szCs w:val="32"/>
          <w:u w:val="none" w:color="auto"/>
          <w:lang w:val="en-US" w:eastAsia="zh-CN"/>
        </w:rPr>
        <w:t>降低消费者的消费门槛，有效促进消费扩容提质</w:t>
      </w:r>
      <w:r>
        <w:rPr>
          <w:rFonts w:hint="eastAsia" w:ascii="仿宋_GB2312" w:hAnsi="仿宋_GB2312" w:eastAsia="仿宋_GB2312" w:cs="仿宋_GB2312"/>
          <w:sz w:val="32"/>
          <w:szCs w:val="32"/>
          <w:u w:val="none" w:color="auto"/>
        </w:rPr>
        <w:t>。</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b w:val="0"/>
          <w:bCs w:val="0"/>
          <w:sz w:val="32"/>
          <w:szCs w:val="32"/>
          <w:u w:val="none" w:color="auto"/>
          <w:lang w:val="en-US" w:eastAsia="zh-CN"/>
        </w:rPr>
      </w:pPr>
      <w:r>
        <w:rPr>
          <w:rFonts w:hint="eastAsia" w:ascii="仿宋_GB2312" w:hAnsi="仿宋_GB2312" w:eastAsia="仿宋_GB2312" w:cs="仿宋_GB2312"/>
          <w:b/>
          <w:bCs/>
          <w:sz w:val="32"/>
          <w:szCs w:val="32"/>
          <w:u w:val="none" w:color="auto"/>
          <w:lang w:val="en-US" w:eastAsia="zh-CN"/>
        </w:rPr>
        <w:t>市委金融办</w:t>
      </w:r>
      <w:r>
        <w:rPr>
          <w:rFonts w:hint="eastAsia" w:ascii="仿宋_GB2312" w:hAnsi="仿宋_GB2312" w:eastAsia="仿宋_GB2312" w:cs="仿宋_GB2312"/>
          <w:b w:val="0"/>
          <w:bCs w:val="0"/>
          <w:sz w:val="32"/>
          <w:szCs w:val="32"/>
          <w:u w:val="none" w:color="auto"/>
          <w:lang w:val="en-US" w:eastAsia="zh-CN"/>
        </w:rPr>
        <w:t>2024年以来持续引导金融机构加大对消费领域的支持力度，一是鼓励金融产品创新，支持金融机构在风险可控前提下围绕消费品以旧换新、住房、汽车、文旅体育、生活服务、外贸产品转内销、跨境消费、消费新业态等重点领域，加大对重点领域金融信贷支持力度；二是鼓励金融机构在风险可控前提下，加大个人消费贷款投放力度，对信用良好、有大额或长期消费需求的客户，适当提高贷款额度，延长贷款期限，合理设置贷款利率。支持金融机构按市场化法治化原则，优化个人消费贷款偿还方式。下一步，一是将持续加大宣传引导力度，强化支付应用推广，推动在机场、陆路口岸、高铁站等交通枢纽滚动播放微信“外卡内绑”、数字人民币硬钱包等使用方式宣传视频，进一步加快推广和应用；二是将协同人民银行深圳市分行、市商务局、深圳各运营机构将进一步优化数字人民币硬钱包服务体系，逐步完善受理环境，助力构建更高水平的对外开放新格局。</w:t>
      </w:r>
    </w:p>
    <w:p>
      <w:pPr>
        <w:pStyle w:val="2"/>
        <w:keepNext w:val="0"/>
        <w:keepLines w:val="0"/>
        <w:pageBreakBefore w:val="0"/>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b w:val="0"/>
          <w:bCs w:val="0"/>
          <w:kern w:val="2"/>
          <w:sz w:val="32"/>
          <w:szCs w:val="32"/>
          <w:u w:val="none" w:color="auto"/>
          <w:lang w:val="en-US" w:eastAsia="zh-CN" w:bidi="ar-SA"/>
        </w:rPr>
      </w:pPr>
      <w:r>
        <w:rPr>
          <w:rFonts w:hint="eastAsia" w:ascii="仿宋_GB2312" w:hAnsi="仿宋_GB2312" w:eastAsia="仿宋_GB2312" w:cs="仿宋_GB2312"/>
          <w:b/>
          <w:bCs/>
          <w:sz w:val="32"/>
          <w:szCs w:val="32"/>
          <w:u w:val="none" w:color="auto"/>
          <w:lang w:val="en-US" w:eastAsia="zh-CN"/>
        </w:rPr>
        <w:t>市医疗保障局</w:t>
      </w:r>
      <w:r>
        <w:rPr>
          <w:rFonts w:hint="eastAsia" w:ascii="仿宋_GB2312" w:hAnsi="仿宋_GB2312" w:eastAsia="仿宋_GB2312" w:cs="仿宋_GB2312"/>
          <w:b w:val="0"/>
          <w:bCs w:val="0"/>
          <w:kern w:val="2"/>
          <w:sz w:val="32"/>
          <w:szCs w:val="32"/>
          <w:u w:val="none" w:color="auto"/>
          <w:lang w:val="en-US" w:eastAsia="zh-CN" w:bidi="ar-SA"/>
        </w:rPr>
        <w:t>持续健全多层次医疗保障体系，并加大对困难群众的保障力度。基本医保参保人可按规定享受普通门诊、门诊特定病种、住院等医疗保障待遇。在此基础上，经民政部门认定为符合条件的困难人员，可按规定享受资助参保、医疗费用救助等待遇，救助比例最高100%，年度救助限额最高50万元。另外，我市居民医保基金筹集实行个人缴费和政府补助相结合，个人缴费和财政补助标准均随本市上上年度城镇居民月可支配收入动态调整。</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培育本土优质内容，打造“深圳原创”二次元品牌，促进青少年消费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60" w:lineRule="exact"/>
        <w:ind w:left="0" w:right="0" w:firstLine="642" w:firstLineChars="200"/>
        <w:jc w:val="left"/>
        <w:textAlignment w:val="auto"/>
        <w:rPr>
          <w:rFonts w:hint="eastAsia" w:ascii="仿宋_GB2312" w:hAnsi="仿宋_GB2312" w:eastAsia="仿宋_GB2312" w:cs="仿宋_GB2312"/>
          <w:b w:val="0"/>
          <w:bCs w:val="0"/>
          <w:sz w:val="32"/>
          <w:szCs w:val="32"/>
          <w:u w:val="none" w:color="auto"/>
          <w:lang w:val="en-US" w:eastAsia="zh-CN"/>
        </w:rPr>
      </w:pPr>
      <w:r>
        <w:rPr>
          <w:rFonts w:hint="eastAsia" w:ascii="仿宋_GB2312" w:hAnsi="仿宋_GB2312" w:eastAsia="仿宋_GB2312" w:cs="仿宋_GB2312"/>
          <w:b/>
          <w:bCs/>
          <w:sz w:val="32"/>
          <w:szCs w:val="32"/>
          <w:lang w:val="en-US" w:eastAsia="zh-CN"/>
        </w:rPr>
        <w:t>市文化广电旅游体育局</w:t>
      </w:r>
      <w:r>
        <w:rPr>
          <w:rFonts w:hint="eastAsia" w:ascii="仿宋_GB2312" w:hAnsi="仿宋_GB2312" w:eastAsia="仿宋_GB2312" w:cs="仿宋_GB2312"/>
          <w:b w:val="0"/>
          <w:bCs w:val="0"/>
          <w:sz w:val="32"/>
          <w:szCs w:val="32"/>
          <w:u w:val="none" w:color="auto"/>
          <w:lang w:val="en-US" w:eastAsia="zh-CN"/>
        </w:rPr>
        <w:t>开展文化产业政策修订工作，起草了《深圳市加快推进数字创意产业高质量发展打造数字文化精品的若干措施》，对游戏技术研发应用、精品游戏创作、平台载体建设等方面加大扶持力度，同时起草了《深圳市加快游戏产业发展三年行动计划（2025-2027年）》，明确未来三年游戏产业发展的工作思路。举办“深港同源，非遗情长”非遗在社区文化交流系列活动，结合中英街片区丰富多彩的文化遗产资源、爱国主义教育资源和文旅资源，运用青少年喜于接受的科技手段，研发“中英街爱国主义科普项目数字化系统”，通过智能手机终端、线下游览和创意角色装扮等方式相结合，实现云上互动和沉浸式现场通关打卡融合的体验效果。支持举办各类二次元主题活动，鼓励各文化产业园区打造如大中华BitCity次元小镇、中洲湾CFutureCity、丰盛町、奇谷米·次元街区、东门动漫城等二次元主题街区和消费场景。2025年，策划举办创新南山2025“创业之星”大赛暨首届游戏产业赛、2025轻游梦工坊全国游戏创作大赛，对接游戏版号、投资基金、“零租加速营”等优质创业资源；对接业内知名俱乐部,深圳NIP电子竞技俱乐部新主场正式启动，并会同南山区与WBG(微博)俱乐部、星竞威武总部对接,争取引进电竞俱乐部联盟，同时办好王者荣耀K甲联赛、2025年英雄联盟职业联赛第二赛段等电竞赛事。目前，已确定永劫无间世界冠军赛总决赛、英雄联盟职业联赛总决赛等顶级赛事今年落地深圳；积极招引二次元相关文化企业，已与哔哩哔哩平台建立联系，力争2025年BiliBili World嘉年华活动落地深圳。</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推动绿色循环消费，构建可持续生态</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jc w:val="both"/>
        <w:textAlignment w:val="auto"/>
        <w:rPr>
          <w:rFonts w:hint="default"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市商务局</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根据《深圳市超长期特别国债资金加力扩围支持消费品以旧换新实施方案(2025年)》(深发改〔2025〕146号)，牵头负责汽车报废更新、置换更新、家电产品以旧换新、数码产品购新补贴和电动自行车以旧换新工作，出台了4项实施指引，建立部门协作、市区联动的工作推进机制，组织生产企业、销售企业、平台企业、金融机构共同参与，线上线下联动激发消费潜力。在国家明确支持的12类家电、3类数码产品基础上，将我市重点优势产品纳入支持范围，包括消费级机器人、投影仪、显示屏、打印机、智能音箱、智能眼镜、智能运动装备、咖啡机、宠物家电等，支持线上线下“即买即享”</w:t>
      </w:r>
      <w:r>
        <w:rPr>
          <w:rFonts w:hint="default"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sz w:val="32"/>
          <w:szCs w:val="32"/>
          <w:highlight w:val="none"/>
          <w:u w:val="none"/>
        </w:rPr>
      </w:pPr>
      <w:r>
        <w:rPr>
          <w:rFonts w:hint="eastAsia" w:ascii="仿宋_GB2312" w:hAnsi="仿宋_GB2312" w:eastAsia="仿宋_GB2312" w:cs="仿宋_GB2312"/>
          <w:b/>
          <w:bCs/>
          <w:sz w:val="32"/>
          <w:szCs w:val="32"/>
          <w:lang w:val="en-US" w:eastAsia="zh-CN"/>
        </w:rPr>
        <w:t>市发展改革委</w:t>
      </w:r>
      <w:r>
        <w:rPr>
          <w:rFonts w:hint="eastAsia" w:ascii="仿宋_GB2312" w:hAnsi="仿宋_GB2312" w:eastAsia="仿宋_GB2312" w:cs="仿宋_GB2312"/>
          <w:sz w:val="32"/>
          <w:szCs w:val="32"/>
          <w:highlight w:val="none"/>
          <w:lang w:eastAsia="zh-CN"/>
        </w:rPr>
        <w:t>高度重视绿色消费有关工作</w:t>
      </w:r>
      <w:r>
        <w:rPr>
          <w:rFonts w:hint="eastAsia" w:ascii="仿宋_GB2312" w:hAnsi="仿宋_GB2312" w:eastAsia="仿宋_GB2312" w:cs="仿宋_GB2312"/>
          <w:sz w:val="32"/>
          <w:szCs w:val="32"/>
          <w:u w:val="none"/>
        </w:rPr>
        <w:t>，不断加强绿色消费对经济高质量发展的支撑作用</w:t>
      </w:r>
      <w:r>
        <w:rPr>
          <w:rFonts w:hint="eastAsia" w:ascii="仿宋_GB2312" w:hAnsi="仿宋_GB2312" w:cs="仿宋_GB2312"/>
          <w:sz w:val="32"/>
          <w:szCs w:val="32"/>
          <w:u w:val="none"/>
          <w:lang w:eastAsia="zh-CN"/>
        </w:rPr>
        <w:t>。</w:t>
      </w:r>
      <w:r>
        <w:rPr>
          <w:rFonts w:hint="eastAsia" w:ascii="仿宋_GB2312" w:hAnsi="仿宋_GB2312" w:eastAsia="仿宋_GB2312" w:cs="仿宋_GB2312"/>
          <w:sz w:val="32"/>
          <w:szCs w:val="32"/>
          <w:u w:val="none"/>
        </w:rPr>
        <w:t>2024年11月20日，印发《深圳市关于促进绿色消费增长的若干措施》（深发改规﹝2024﹞7号），提出</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b w:val="0"/>
          <w:bCs w:val="0"/>
          <w:sz w:val="32"/>
          <w:szCs w:val="32"/>
          <w:u w:val="none"/>
        </w:rPr>
        <w:t>完善二手交易平台建设。</w:t>
      </w:r>
      <w:r>
        <w:rPr>
          <w:rFonts w:hint="eastAsia" w:ascii="仿宋_GB2312" w:hAnsi="仿宋_GB2312" w:eastAsia="仿宋_GB2312" w:cs="仿宋_GB2312"/>
          <w:sz w:val="32"/>
          <w:szCs w:val="32"/>
          <w:u w:val="none"/>
        </w:rPr>
        <w:t>拓宽二手交易渠道，大力发展“互联网+二手”模式，推动出台二手电子交易行业相关标准指引，规范发展废旧产品线上交易平台。支持家电、电子产品生产企业和电商平台举办绿色产品促销活动，推动线上线下协同交易销售旧物资。做大做强二手电子市场、二手车交易中心，推进城市住宅小区、城中村二手商品交易网点建设，鼓励定期开展二手商品交易活动。</w:t>
      </w:r>
      <w:r>
        <w:rPr>
          <w:rFonts w:hint="eastAsia" w:ascii="仿宋_GB2312" w:hAnsi="仿宋_GB2312" w:eastAsia="仿宋_GB2312" w:cs="仿宋_GB2312"/>
          <w:b w:val="0"/>
          <w:bCs w:val="0"/>
          <w:sz w:val="32"/>
          <w:szCs w:val="32"/>
          <w:u w:val="none"/>
        </w:rPr>
        <w:t>引导绿色消费标准建设与产品认证。</w:t>
      </w:r>
      <w:r>
        <w:rPr>
          <w:rFonts w:hint="eastAsia" w:ascii="仿宋_GB2312" w:hAnsi="仿宋_GB2312" w:eastAsia="仿宋_GB2312" w:cs="仿宋_GB2312"/>
          <w:sz w:val="32"/>
          <w:szCs w:val="32"/>
          <w:u w:val="none"/>
        </w:rPr>
        <w:t>支持企业积极参与绿色消费领域国家标准、行业标准和团体标准的制修订工作。对主导绿色产品相关国家标准、行业标准以及经评定的优秀团体标</w:t>
      </w:r>
      <w:r>
        <w:rPr>
          <w:rFonts w:hint="eastAsia" w:ascii="仿宋_GB2312" w:hAnsi="仿宋_GB2312" w:eastAsia="仿宋_GB2312" w:cs="仿宋_GB2312"/>
          <w:sz w:val="32"/>
          <w:szCs w:val="32"/>
          <w:highlight w:val="none"/>
          <w:u w:val="none"/>
        </w:rPr>
        <w:t>准，分别予以不超过50万元、30万元、10万元的资助；对参与绿色产品相关国家标准、行业标准，分别予以不超过25万元、15万元的资助。支持碳足迹标识、节能产品、低碳产品等认证和推广服务</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rPr>
        <w:t>加强培育具有国际影响力的绿色认证机构</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rPr>
        <w:t>鼓励绿色属性突出、消费量大的民生产品和储能设施设备、电子信息等重点产品积极开展大湾区碳足迹标识认证示范，对通过粤港澳大湾区碳足迹标识认证的</w:t>
      </w:r>
      <w:r>
        <w:rPr>
          <w:rFonts w:hint="eastAsia" w:ascii="仿宋_GB2312" w:hAnsi="仿宋_GB2312" w:eastAsia="仿宋_GB2312" w:cs="仿宋_GB2312"/>
          <w:i w:val="0"/>
          <w:iCs w:val="0"/>
          <w:caps w:val="0"/>
          <w:spacing w:val="0"/>
          <w:sz w:val="32"/>
          <w:szCs w:val="32"/>
          <w:highlight w:val="none"/>
          <w:u w:val="none"/>
          <w:shd w:val="clear" w:color="auto" w:fill="auto"/>
          <w:lang w:val="en-US" w:eastAsia="zh-CN"/>
        </w:rPr>
        <w:t>且</w:t>
      </w:r>
      <w:r>
        <w:rPr>
          <w:rFonts w:hint="eastAsia" w:ascii="仿宋_GB2312" w:hAnsi="仿宋_GB2312" w:eastAsia="仿宋_GB2312" w:cs="仿宋_GB2312"/>
          <w:i w:val="0"/>
          <w:iCs w:val="0"/>
          <w:caps w:val="0"/>
          <w:spacing w:val="0"/>
          <w:sz w:val="32"/>
          <w:szCs w:val="32"/>
          <w:highlight w:val="none"/>
          <w:u w:val="none"/>
          <w:shd w:val="clear" w:color="auto" w:fill="auto"/>
        </w:rPr>
        <w:t>企业成立运行2年以上</w:t>
      </w:r>
      <w:r>
        <w:rPr>
          <w:rFonts w:hint="eastAsia" w:ascii="仿宋_GB2312" w:hAnsi="仿宋_GB2312" w:eastAsia="仿宋_GB2312" w:cs="仿宋_GB2312"/>
          <w:sz w:val="32"/>
          <w:szCs w:val="32"/>
          <w:highlight w:val="none"/>
          <w:u w:val="none"/>
        </w:rPr>
        <w:t>，按每张证书予以最高10万元资助</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i w:val="0"/>
          <w:iCs w:val="0"/>
          <w:caps w:val="0"/>
          <w:color w:val="040404"/>
          <w:spacing w:val="0"/>
          <w:sz w:val="32"/>
          <w:szCs w:val="32"/>
          <w:highlight w:val="none"/>
          <w:u w:val="none"/>
          <w:shd w:val="clear" w:color="auto" w:fill="auto"/>
        </w:rPr>
        <w:t>同一企业当年可获资助量限3张证书</w:t>
      </w:r>
      <w:r>
        <w:rPr>
          <w:rFonts w:hint="eastAsia" w:ascii="仿宋_GB2312" w:hAnsi="仿宋_GB2312" w:eastAsia="仿宋_GB2312" w:cs="仿宋_GB2312"/>
          <w:sz w:val="32"/>
          <w:szCs w:val="32"/>
          <w:highlight w:val="none"/>
          <w:u w:val="none"/>
        </w:rPr>
        <w:t>。</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lang w:val="en-US" w:eastAsia="zh-CN"/>
        </w:rPr>
        <w:t>深化跨境消费便利化，建设大湾区消费枢纽</w:t>
      </w:r>
    </w:p>
    <w:p>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560" w:lineRule="exact"/>
        <w:ind w:leftChars="0" w:firstLine="642" w:firstLineChars="200"/>
        <w:jc w:val="both"/>
        <w:textAlignment w:val="auto"/>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pPr>
      <w:r>
        <w:rPr>
          <w:rFonts w:hint="eastAsia" w:ascii="仿宋_GB2312" w:hAnsi="仿宋_GB2312" w:eastAsia="仿宋_GB2312" w:cs="仿宋_GB2312"/>
          <w:b/>
          <w:bCs/>
          <w:sz w:val="32"/>
          <w:szCs w:val="32"/>
          <w:highlight w:val="none"/>
          <w:u w:val="none"/>
          <w:lang w:val="en-US" w:eastAsia="zh-CN"/>
        </w:rPr>
        <w:t>市商务局</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印发了《深圳市关于促进商旅文体展融合发展提升外籍来深人员消费的工作方案》。鼓励企业、商户提供中英双语菜单、双语服务清单、开发多语种APP并鼓励工作人员多语种指引、导购等国际化服务。引导企业推出境外支付使用体验服务与优化升级，做好活动宣传工作。目前微信、支付宝等支付平台已开通外卡内绑，并支持英文版体验。设计推出《鹏城消费指引》《深圳购物季宣传册》《深圳消费地图》《深圳必购必带清单》等中英文材料，借助深圳购物季等促消费活动，在深圳机场、深圳口岸及商圈布设宣传折页。做好境外人士来深消费环境优化成果及便利非中国籍永居港人通关政策宣传工作，做好繁体版《境外来深支付指南》《离境退税指南》《罗湖港人一本通2.0》宣传册宣传工作。组织中国移动香港有限公司等移动运营商梳理对港人北上权益服务，推出“港人北上生活节”推出，落地深圳皇庭广场、卓悦中心、金光华、福田星河COCO Park、领展中心城等五家商场，为港人提供专属权益及商场消费券，吸引港客北上消费；组织微信香港、支付宝香港、万事达卡等支付机构及银行还推出“内地消费赏”“10笔97折”等支付优惠活动，营造良好消费氛围。2025年1-6月，外籍人员在深非现金支付交易8587.54万笔、118.10亿元，同比分别增长29%、35%；消费主要集中在商超购物和餐饮美食两大领域。韩国、美国、新加坡位列深圳入境消费市场前三大客源国，合计贡献了近三成消费额；老挝、蒙古游客在深消费增速“领跑”，消费额同比分别激增150倍、23倍。</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i w:val="0"/>
          <w:iCs w:val="0"/>
          <w:caps w:val="0"/>
          <w:color w:val="040404"/>
          <w:spacing w:val="0"/>
          <w:sz w:val="32"/>
          <w:szCs w:val="32"/>
          <w:highlight w:val="none"/>
          <w:u w:val="none"/>
          <w:shd w:val="clear" w:color="auto" w:fill="auto"/>
        </w:rPr>
      </w:pPr>
      <w:r>
        <w:rPr>
          <w:rFonts w:hint="eastAsia" w:ascii="仿宋_GB2312" w:hAnsi="仿宋_GB2312" w:eastAsia="仿宋_GB2312" w:cs="仿宋_GB2312"/>
          <w:b/>
          <w:bCs/>
          <w:sz w:val="32"/>
          <w:szCs w:val="32"/>
          <w:highlight w:val="none"/>
          <w:u w:val="none"/>
          <w:lang w:val="en-US" w:eastAsia="zh-CN"/>
        </w:rPr>
        <w:t>市文化广电旅游体育局</w:t>
      </w:r>
      <w:r>
        <w:rPr>
          <w:rFonts w:hint="eastAsia" w:ascii="仿宋_GB2312" w:hAnsi="仿宋_GB2312" w:eastAsia="仿宋_GB2312" w:cs="仿宋_GB2312"/>
          <w:i w:val="0"/>
          <w:iCs w:val="0"/>
          <w:caps w:val="0"/>
          <w:color w:val="040404"/>
          <w:spacing w:val="0"/>
          <w:sz w:val="32"/>
          <w:szCs w:val="32"/>
          <w:highlight w:val="none"/>
          <w:u w:val="none"/>
          <w:shd w:val="clear" w:color="auto" w:fill="auto"/>
        </w:rPr>
        <w:t>优化艺术场馆国际化语言环境。市属美术馆、演出场馆均完善中英文标识,线上平台(含官网、公众号、小程序等)设计中英双语界面,线下配备多名外语服务人员,配备人工智能翻译设备,便于境外游客获取相关信息</w:t>
      </w:r>
      <w:r>
        <w:rPr>
          <w:rFonts w:hint="eastAsia" w:ascii="仿宋_GB2312" w:hAnsi="仿宋_GB2312" w:eastAsia="仿宋_GB2312" w:cs="仿宋_GB2312"/>
          <w:i w:val="0"/>
          <w:iCs w:val="0"/>
          <w:caps w:val="0"/>
          <w:color w:val="040404"/>
          <w:spacing w:val="0"/>
          <w:sz w:val="32"/>
          <w:szCs w:val="32"/>
          <w:highlight w:val="none"/>
          <w:u w:val="none"/>
          <w:shd w:val="clear" w:color="auto" w:fill="auto"/>
          <w:lang w:eastAsia="zh-CN"/>
        </w:rPr>
        <w:t>；</w:t>
      </w:r>
      <w:r>
        <w:rPr>
          <w:rFonts w:hint="eastAsia" w:ascii="仿宋_GB2312" w:hAnsi="仿宋_GB2312" w:eastAsia="仿宋_GB2312" w:cs="仿宋_GB2312"/>
          <w:i w:val="0"/>
          <w:iCs w:val="0"/>
          <w:caps w:val="0"/>
          <w:color w:val="040404"/>
          <w:spacing w:val="0"/>
          <w:sz w:val="32"/>
          <w:szCs w:val="32"/>
          <w:highlight w:val="none"/>
          <w:u w:val="none"/>
          <w:shd w:val="clear" w:color="auto" w:fill="auto"/>
        </w:rPr>
        <w:t>提升艺术场馆跨境支付服务便利性。各市属美术馆、演出场馆均开通境外银行卡支付POS机,可为游客提供银行卡、移动支付、现金等多元化支付服务</w:t>
      </w:r>
      <w:r>
        <w:rPr>
          <w:rFonts w:hint="eastAsia" w:ascii="仿宋_GB2312" w:hAnsi="仿宋_GB2312" w:eastAsia="仿宋_GB2312" w:cs="仿宋_GB2312"/>
          <w:i w:val="0"/>
          <w:iCs w:val="0"/>
          <w:caps w:val="0"/>
          <w:color w:val="040404"/>
          <w:spacing w:val="0"/>
          <w:sz w:val="32"/>
          <w:szCs w:val="32"/>
          <w:highlight w:val="none"/>
          <w:u w:val="none"/>
          <w:shd w:val="clear" w:color="auto" w:fill="auto"/>
          <w:lang w:eastAsia="zh-CN"/>
        </w:rPr>
        <w:t>；</w:t>
      </w:r>
      <w:r>
        <w:rPr>
          <w:rFonts w:hint="eastAsia" w:ascii="仿宋_GB2312" w:hAnsi="仿宋_GB2312" w:eastAsia="仿宋_GB2312" w:cs="仿宋_GB2312"/>
          <w:i w:val="0"/>
          <w:iCs w:val="0"/>
          <w:caps w:val="0"/>
          <w:color w:val="040404"/>
          <w:spacing w:val="0"/>
          <w:sz w:val="32"/>
          <w:szCs w:val="32"/>
          <w:highlight w:val="none"/>
          <w:u w:val="none"/>
          <w:shd w:val="clear" w:color="auto" w:fill="auto"/>
        </w:rPr>
        <w:t>提供跨境游客观演购票便利。支持护照、外国人永久居留身份证、港澳台通行证等证件预约及购票服务,市属演出场馆已启动英文版购票预约平台的建设工作。定期在各主要场馆内均摆放《艺享深圳》双语月刊,为境外游客提供我市文体旅活动双语咨询</w:t>
      </w:r>
      <w:r>
        <w:rPr>
          <w:rFonts w:hint="eastAsia" w:ascii="仿宋_GB2312" w:hAnsi="仿宋_GB2312" w:eastAsia="仿宋_GB2312" w:cs="仿宋_GB2312"/>
          <w:i w:val="0"/>
          <w:iCs w:val="0"/>
          <w:caps w:val="0"/>
          <w:color w:val="040404"/>
          <w:spacing w:val="0"/>
          <w:sz w:val="32"/>
          <w:szCs w:val="32"/>
          <w:highlight w:val="none"/>
          <w:u w:val="none"/>
          <w:shd w:val="clear" w:color="auto" w:fill="auto"/>
          <w:lang w:eastAsia="zh-CN"/>
        </w:rPr>
        <w:t>；</w:t>
      </w:r>
      <w:r>
        <w:rPr>
          <w:rFonts w:hint="eastAsia" w:ascii="仿宋_GB2312" w:hAnsi="仿宋_GB2312" w:eastAsia="仿宋_GB2312" w:cs="仿宋_GB2312"/>
          <w:i w:val="0"/>
          <w:iCs w:val="0"/>
          <w:caps w:val="0"/>
          <w:color w:val="040404"/>
          <w:spacing w:val="0"/>
          <w:sz w:val="32"/>
          <w:szCs w:val="32"/>
          <w:highlight w:val="none"/>
          <w:u w:val="none"/>
          <w:shd w:val="clear" w:color="auto" w:fill="auto"/>
        </w:rPr>
        <w:t>推动“湾区海上游”“海上看深中”“金色海岸”等海上旅游观光业态发展,2024年全年接待旅客超100万人次,节假日“一票难求”。开通了经港珠澳大桥、前海湾、珠海东澳岛和深中通道大桥等多个著名景点的航线。今年1月“湾区海上游”第三艘新船“伊敦号”投入运营。湾区海上游“蛇口-中港城”航线已于4月开通,该航线为深港跨境旅游航线。</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default" w:ascii="仿宋_GB2312" w:hAnsi="仿宋_GB2312" w:eastAsia="仿宋_GB2312" w:cs="仿宋_GB2312"/>
          <w:b w:val="0"/>
          <w:bCs w:val="0"/>
          <w:i w:val="0"/>
          <w:iCs w:val="0"/>
          <w:caps w:val="0"/>
          <w:color w:val="040404"/>
          <w:spacing w:val="0"/>
          <w:sz w:val="32"/>
          <w:szCs w:val="32"/>
          <w:highlight w:val="none"/>
          <w:u w:val="none"/>
          <w:shd w:val="clear" w:color="auto" w:fill="auto"/>
          <w:lang w:val="en-US" w:eastAsia="zh-CN"/>
        </w:rPr>
      </w:pPr>
      <w:r>
        <w:rPr>
          <w:rFonts w:hint="eastAsia" w:ascii="仿宋_GB2312" w:hAnsi="仿宋_GB2312" w:eastAsia="仿宋_GB2312" w:cs="仿宋_GB2312"/>
          <w:b/>
          <w:bCs/>
          <w:i w:val="0"/>
          <w:iCs w:val="0"/>
          <w:caps w:val="0"/>
          <w:color w:val="040404"/>
          <w:spacing w:val="0"/>
          <w:sz w:val="32"/>
          <w:szCs w:val="32"/>
          <w:highlight w:val="none"/>
          <w:u w:val="none"/>
          <w:shd w:val="clear" w:color="auto" w:fill="auto"/>
          <w:lang w:val="en-US" w:eastAsia="zh-CN"/>
        </w:rPr>
        <w:t>市委金融办</w:t>
      </w:r>
      <w:r>
        <w:rPr>
          <w:rFonts w:hint="eastAsia" w:ascii="仿宋_GB2312" w:hAnsi="仿宋_GB2312" w:eastAsia="仿宋_GB2312" w:cs="仿宋_GB2312"/>
          <w:b w:val="0"/>
          <w:bCs w:val="0"/>
          <w:i w:val="0"/>
          <w:iCs w:val="0"/>
          <w:caps w:val="0"/>
          <w:color w:val="040404"/>
          <w:spacing w:val="0"/>
          <w:sz w:val="32"/>
          <w:szCs w:val="32"/>
          <w:highlight w:val="none"/>
          <w:u w:val="none"/>
          <w:shd w:val="clear" w:color="auto" w:fill="auto"/>
          <w:lang w:val="en-US" w:eastAsia="zh-CN"/>
        </w:rPr>
        <w:t>与各有关部门通力合作，通过“卡码币包”四种支付路径，持续优化境外人士支付便利化工作，促进我市跨境消费便利化，更好满足境内外居民跨境消费需求，一是刷卡支付方面，加大外卡POS机投放，可受理外卡POS机超5万台，外卡交易近50万笔，进一步提升外卡受理覆盖面；二是扫码支付方面，上线“外卡内绑”免验证小额支付方案，简化境外人士绑卡流程和要求；三是现金支付方面，加强外币兑换和支取设施建设，持续开展整治拒收现金行动；四是数字人民币硬钱包方面，2024年11月，第十八届深圳国际金融博览会与2024深圳国际金融科技节联合开幕，正式发布数字人民币可视硬钱包2.0，并加大数字人民币硬钱包自助机布设，累计近4万部终端设备、100余条公交线路支持受理硬钱包。</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val="en-US" w:eastAsia="zh-CN"/>
        </w:rPr>
        <w:t>拓展新兴消费领域，培育增长新动能</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市文化广电旅游体育局</w:t>
      </w:r>
      <w:r>
        <w:rPr>
          <w:rFonts w:hint="eastAsia" w:ascii="仿宋_GB2312" w:hAnsi="仿宋_GB2312" w:eastAsia="仿宋_GB2312" w:cs="仿宋_GB2312"/>
          <w:b w:val="0"/>
          <w:bCs w:val="0"/>
          <w:sz w:val="32"/>
          <w:szCs w:val="32"/>
          <w:lang w:val="en-US" w:eastAsia="zh-CN"/>
        </w:rPr>
        <w:t>整合文化、旅游行业产业资源,谋划、筹备中国文化 旅游特色商品大赛(深圳赛区),重点部署加强“深圳手信”等文旅产品的设计、开发和推广。初步形成100多项深圳特色商品名录,遴选20多件未来旅游大会展示商品。发布“五光十色游深圳”旅游线路,涵盖低空经济、创新科技、工业研学等旅游线路；开发粤港澳N市游邮轮旅游产品,湾区海上游“蛇口-中港城”航线已于4月开通。推出适合中老年游客的邮轮旅游产品,星旅远洋“鼓浪屿”号、和平之船“太平洋世界号”靠泊深圳邮轮母港。爱达邮轮“地中海”号已确认来深部署11个航次；开发“一程多站”主题旅游线路,发挥山海文旅、商圈企业等资源优势,积极探索商文旅融合消费新场景,推动消费业态升级与多元化发展。结合我市工业旅游、国货潮品、演唱会经济等丰富资源,推动城市商文旅消费融合发展。形成“食、游、购、娱、体、展、演”等多样化、多业态的新型文旅消费形态；支持东部华侨城、大梅沙片区等打造热气球、滑翔伞、eVTOL等低空旅游消费新场景,培育低空体育运动赛事、表演活动、低空旅游线路等产品,推动低空旅游多元化发展。利用直升机、无人机、eVTOL等低空飞行器,开发空中游览、航拍航摄、编队表演等旅游消费项目,支持开发多类型、多功能的低空旅游产品和线路；继续推出更多粵港澳N市游邮轮旅游航线,鼓励旅行 社开发适合老年人的旅游精品线路。支持国际邮轮港口专用码头、设施设备的适老化改造,方便老年人体验粤港澳大湾区邮轮“一程多站”式旅游。</w:t>
      </w:r>
    </w:p>
    <w:p>
      <w:pPr>
        <w:keepNext w:val="0"/>
        <w:keepLines w:val="0"/>
        <w:pageBreakBefore w:val="0"/>
        <w:kinsoku/>
        <w:wordWrap/>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sz w:val="32"/>
          <w:szCs w:val="32"/>
          <w:u w:val="none" w:color="auto"/>
          <w:lang w:eastAsia="zh-CN"/>
        </w:rPr>
      </w:pPr>
      <w:r>
        <w:rPr>
          <w:rFonts w:hint="eastAsia" w:ascii="仿宋_GB2312" w:hAnsi="仿宋_GB2312" w:eastAsia="仿宋_GB2312" w:cs="仿宋_GB2312"/>
          <w:b/>
          <w:bCs/>
          <w:sz w:val="32"/>
          <w:szCs w:val="32"/>
          <w:lang w:val="en-US" w:eastAsia="zh-CN"/>
        </w:rPr>
        <w:t>市发展改革委</w:t>
      </w:r>
      <w:r>
        <w:rPr>
          <w:rFonts w:hint="eastAsia" w:ascii="仿宋_GB2312" w:hAnsi="仿宋_GB2312" w:eastAsia="仿宋_GB2312" w:cs="仿宋_GB2312"/>
          <w:b w:val="0"/>
          <w:bCs w:val="0"/>
          <w:sz w:val="32"/>
          <w:szCs w:val="32"/>
          <w:lang w:val="en-US" w:eastAsia="zh-CN"/>
        </w:rPr>
        <w:t>《深圳实施方案》在加大优质多元消费供给方面提出了若干措施，充分发挥市场主体在创新和扩大优质消费供给中的主导作用。例如，在发展低空经济方面，拟优化可飞行空域，在蛇口邮轮母港等区域建设低空飞行场景应用示范点等，打造新型消费场景，培育消费新群体。在打造智能消费场景方面，提出要大力推广AI终端消费，支持AI眼镜、AI耳机、智能手表、人形机器人等企业在核心商圈和交通枢纽等设立有展示度的旗舰店、概念店、体验店，鼓励在公园、旅游景区等设立AI眼镜、AI翻译耳机等产品租赁点，增强消费吸引力。在激活“银发经济”方面，拟引导电商平台举办银发主题购物节，支持平台设立银发消费专区，推进智慧养老展示体验消费中心、老年用品展示体验中心建设，设立线下老年用品与服务展示售卖专区等，优化消费供给结构，激发潜在消费需求。</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市工业和信息化局</w:t>
      </w:r>
      <w:r>
        <w:rPr>
          <w:rFonts w:hint="eastAsia" w:ascii="仿宋_GB2312" w:hAnsi="仿宋_GB2312" w:eastAsia="仿宋_GB2312" w:cs="仿宋_GB2312"/>
          <w:b w:val="0"/>
          <w:bCs w:val="0"/>
          <w:sz w:val="32"/>
          <w:szCs w:val="32"/>
          <w:lang w:val="en-US" w:eastAsia="zh-CN"/>
        </w:rPr>
        <w:t>提出，深圳市正在积极布局更多低空消费新业态，持续扩大低空经济与智能消费市场。例如南山区推出“飞享梧桐”项目，乘坐亿航EH216-S无人驾驶航空器俯瞰深圳山海城景，东部通航在星河双子塔开通直升机载人航线，高巨创新完成全球首次环双塔无人机编队飞行表演，福田区依托深业上城等商圈，开展无人机配送商品至商圈、低空观光体验等，盐田区结合山海资源，打造“低空+婚庆”等特色场景，如云海公园的无人机求婚仪式。我局将继续围绕低空企业拓展服务业态做好服务保障，力争2025年累计开通无人机低空商业航线300条，无人机飞行规模超100万架次。支持低空企业迭代升级解决方案，在龙华区、龙岗区开展城市低空即时配送分布式航网试点项目建设，推动低空文旅新业态快速发展，积极培育航拍航摄、无人机集群表演等旅游市场，在欢乐港湾、大梅沙等景区开展观光体验、空中游览等活动，力争2025年载人飞行达3万架次。</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bCs/>
          <w:sz w:val="32"/>
          <w:szCs w:val="32"/>
          <w:u w:val="none" w:color="auto"/>
          <w:lang w:val="en-US"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sz w:val="32"/>
          <w:szCs w:val="32"/>
          <w:lang w:val="en-US" w:eastAsia="zh-CN"/>
        </w:rPr>
        <w:t>优化消费供给结构</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市文化广电旅游体育局</w:t>
      </w:r>
      <w:r>
        <w:rPr>
          <w:rFonts w:hint="eastAsia" w:ascii="仿宋_GB2312" w:hAnsi="仿宋_GB2312" w:eastAsia="仿宋_GB2312" w:cs="仿宋_GB2312"/>
          <w:sz w:val="32"/>
          <w:szCs w:val="32"/>
        </w:rPr>
        <w:t>推出一批具有中国气派、深圳特色的原创精品力作。围绕重要节点、重大选题,推出舞剧《咏春》、歌剧《先行者》《卡门》、交响乐《东方旭日》《南海心潮》等新时代文艺精品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策划组织深圳文博会艺术季、中国设计大展及公共艺术专题展、深圳国际钢琴协奏曲音乐周、深圳钢琴公开赛、深圳钢琴音乐季、深圳市戏曲名剧名家展演等品牌活动,指导开展深圳交响乐团音乐季、深圳大剧院艺术节、深圳音乐厅古典名家名团系列音乐会等品牌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积极新建及改造各类商旅融合地项目,包括盐田区中英街深港旅游消费合作区、福田区中轴云廊、罗湖区怡景动漫基地等,通过联动文化、旅游、娱乐等业态,搭建新的城市消费载体,不断丰富商业空间或场景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鼓励社会力量举办高水平赛事,我市举办的商业性体育赛事逐年增加,包括男篮世界杯、法国超级杯、NBA 中国赛深圳站、沃尔沃高尔夫中国赛、世界无人机锦标赛、中国羽毛球大师赛、深圳马拉松、中国杯帆船赛等高端国际体育赛事。在办赛过程中,除大量参赛者来深参赛以外,还吸引了广大国内外游客来深观赛、旅游,有效拉动了我市的文体旅游相关消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开展“跟着赛事去旅行”、体育赛事“进景区、进街区、进商圈”活动,成功举办“体育赛事进景区、进街区、进商圈”活动(广东站)启动仪式,鼓励赛事活动在景区、度假区、体育公园、商业中心、步行街等区域举办,带动餐饮、旅游、住宿等消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持续谋划一系列丰富多彩、富有深意的文艺活动,打造具有广泛影响力和号召力、体现深圳独特定位的艺术品牌,进一步提升城市文化影响力、创新力和竞争力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进一步协调推进各相关项目建设,努力提升文旅消费服务设施供给水平,推动深圳市建设具有全球影响力的消费工作中心城市。</w:t>
      </w:r>
    </w:p>
    <w:p>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七、</w:t>
      </w:r>
      <w:r>
        <w:rPr>
          <w:rFonts w:hint="eastAsia" w:ascii="黑体" w:hAnsi="黑体" w:eastAsia="黑体" w:cs="黑体"/>
          <w:sz w:val="32"/>
          <w:szCs w:val="32"/>
          <w:lang w:val="en-US" w:eastAsia="zh-CN"/>
        </w:rPr>
        <w:t>提升居民消费能力</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市发展改革委</w:t>
      </w:r>
      <w:r>
        <w:rPr>
          <w:rFonts w:hint="eastAsia" w:ascii="仿宋_GB2312" w:hAnsi="仿宋_GB2312" w:eastAsia="仿宋_GB2312" w:cs="仿宋_GB2312"/>
          <w:sz w:val="32"/>
          <w:szCs w:val="32"/>
          <w:lang w:val="en-US" w:eastAsia="zh-CN"/>
        </w:rPr>
        <w:t>《深圳实施方案》在提升居民消费能力和意愿方面谋划部署了若干措施，充分释放政府在促进消费中能够重点发挥的作用。例如，在促进工资性收入合理增长方面，提出要多渠道增加居民收入，按照省统一部署，科学适时合理调整最低工资标准；支持各级工会建立利益协调机制，积极开展集体协商“集中要约行动”；健全分层分类社会救助体系，适时提高最低生活保障标准等，稳定居民消费预期，为培育新消费业态、促进社会消费总量增长创造基础。在强化居民消费能力保障方面，提出要加大生育养育保障、降低教育投入成本、减轻医疗养老负担、降低租购房成本等，系统性降低居民刚性支出负担，提升民生福祉，释放消费潜力，实现经济发展与社会进步的良性互动。</w:t>
      </w:r>
    </w:p>
    <w:p>
      <w:pPr>
        <w:keepNext w:val="0"/>
        <w:keepLines w:val="0"/>
        <w:pageBreakBefore w:val="0"/>
        <w:widowControl w:val="0"/>
        <w:numPr>
          <w:ilvl w:val="0"/>
          <w:numId w:val="0"/>
        </w:numPr>
        <w:kinsoku/>
        <w:overflowPunct/>
        <w:topLinePunct w:val="0"/>
        <w:autoSpaceDE/>
        <w:autoSpaceDN/>
        <w:bidi w:val="0"/>
        <w:adjustRightInd w:val="0"/>
        <w:snapToGrid w:val="0"/>
        <w:spacing w:line="560"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市人力资源和社会保障局</w:t>
      </w:r>
      <w:r>
        <w:rPr>
          <w:rFonts w:hint="eastAsia" w:ascii="仿宋_GB2312" w:hAnsi="仿宋_GB2312" w:eastAsia="仿宋_GB2312" w:cs="仿宋_GB2312"/>
          <w:b w:val="0"/>
          <w:bCs w:val="0"/>
          <w:sz w:val="32"/>
          <w:szCs w:val="32"/>
          <w:lang w:val="en-US" w:eastAsia="zh-CN"/>
        </w:rPr>
        <w:t>提出，</w:t>
      </w:r>
      <w:r>
        <w:rPr>
          <w:rFonts w:hint="eastAsia" w:ascii="仿宋_GB2312" w:hAnsi="仿宋_GB2312" w:eastAsia="仿宋_GB2312" w:cs="仿宋_GB2312"/>
          <w:b w:val="0"/>
          <w:bCs/>
          <w:i w:val="0"/>
          <w:color w:val="auto"/>
          <w:kern w:val="0"/>
          <w:sz w:val="32"/>
          <w:szCs w:val="32"/>
          <w:highlight w:val="none"/>
          <w:u w:val="none"/>
          <w:lang w:val="en-US" w:eastAsia="zh-CN" w:bidi="ar"/>
        </w:rPr>
        <w:t>一是</w:t>
      </w:r>
      <w:r>
        <w:rPr>
          <w:rFonts w:hint="default" w:ascii="仿宋_GB2312" w:hAnsi="仿宋_GB2312" w:eastAsia="仿宋_GB2312" w:cs="仿宋_GB2312"/>
          <w:b w:val="0"/>
          <w:bCs/>
          <w:i w:val="0"/>
          <w:color w:val="auto"/>
          <w:kern w:val="0"/>
          <w:sz w:val="32"/>
          <w:szCs w:val="32"/>
          <w:highlight w:val="none"/>
          <w:u w:val="none"/>
          <w:lang w:val="en-US" w:eastAsia="zh-CN" w:bidi="ar"/>
        </w:rPr>
        <w:t>稳慎调整我市最低工资标准。</w:t>
      </w:r>
      <w:r>
        <w:rPr>
          <w:rFonts w:hint="eastAsia" w:ascii="仿宋_GB2312" w:hAnsi="仿宋_GB2312" w:eastAsia="仿宋_GB2312" w:cs="仿宋_GB2312"/>
          <w:b w:val="0"/>
          <w:bCs/>
          <w:i w:val="0"/>
          <w:color w:val="auto"/>
          <w:kern w:val="0"/>
          <w:sz w:val="32"/>
          <w:szCs w:val="32"/>
          <w:highlight w:val="none"/>
          <w:u w:val="none"/>
          <w:lang w:val="en-US" w:eastAsia="zh-CN" w:bidi="ar"/>
        </w:rPr>
        <w:t>2月14日，广东省人民政府印发《关于调整我省最低工资标准的通知》，决定从2025年3月1日起调整提高月最低工资标准和非全日制小时最低工资标准。此次调整后，深圳市全日制就业劳动者月最低工资标准调整为2520元/月，非全日制小时最低工资标准为23.7元/小时。调整后，我市最低工资标准全省最高，居于全国前列。二是高质量开展我市薪酬调查和人力资源市场工资价位制订工作。2024年我局对4938家用人单位81.01万名员工开展薪酬调查，</w:t>
      </w:r>
      <w:r>
        <w:rPr>
          <w:rFonts w:hint="default" w:ascii="仿宋_GB2312" w:hAnsi="仿宋_GB2312" w:eastAsia="仿宋_GB2312" w:cs="仿宋_GB2312"/>
          <w:b w:val="0"/>
          <w:bCs/>
          <w:i w:val="0"/>
          <w:color w:val="auto"/>
          <w:kern w:val="0"/>
          <w:sz w:val="32"/>
          <w:szCs w:val="32"/>
          <w:highlight w:val="none"/>
          <w:u w:val="none"/>
          <w:lang w:val="en-US" w:eastAsia="zh-CN" w:bidi="ar"/>
        </w:rPr>
        <w:t>制订发布</w:t>
      </w:r>
      <w:r>
        <w:rPr>
          <w:rFonts w:hint="eastAsia" w:ascii="仿宋_GB2312" w:hAnsi="Calibri" w:eastAsia="仿宋_GB2312" w:cs="Times New Roman"/>
          <w:sz w:val="32"/>
          <w:szCs w:val="32"/>
        </w:rPr>
        <w:t>《深圳市2024年人力资源市场工资价位及行</w:t>
      </w:r>
      <w:r>
        <w:rPr>
          <w:rFonts w:hint="eastAsia" w:ascii="仿宋_GB2312" w:hAnsi="宋体" w:eastAsia="仿宋_GB2312" w:cs="Times New Roman"/>
          <w:sz w:val="32"/>
          <w:szCs w:val="32"/>
        </w:rPr>
        <w:t>业人工成本信息》</w:t>
      </w:r>
      <w:r>
        <w:rPr>
          <w:rFonts w:hint="eastAsia" w:ascii="仿宋_GB2312" w:hAnsi="宋体" w:eastAsia="仿宋_GB2312" w:cs="Times New Roman"/>
          <w:sz w:val="32"/>
          <w:szCs w:val="32"/>
          <w:lang w:eastAsia="zh-CN"/>
        </w:rPr>
        <w:t>，</w:t>
      </w:r>
      <w:r>
        <w:rPr>
          <w:rFonts w:hint="eastAsia" w:ascii="仿宋_GB2312" w:hAnsi="仿宋_GB2312" w:eastAsia="仿宋_GB2312" w:cs="仿宋_GB2312"/>
          <w:sz w:val="32"/>
          <w:szCs w:val="32"/>
          <w:lang w:val="en-US" w:eastAsia="zh-CN"/>
        </w:rPr>
        <w:t>为企业招聘、劳动者求职以及开展工资集体协商确定工资水平等提供信息参考。</w:t>
      </w:r>
      <w:r>
        <w:rPr>
          <w:rFonts w:hint="eastAsia" w:ascii="仿宋_GB2312" w:hAnsi="仿宋_GB2312" w:eastAsia="仿宋_GB2312" w:cs="仿宋_GB2312"/>
          <w:b w:val="0"/>
          <w:bCs/>
          <w:i w:val="0"/>
          <w:color w:val="auto"/>
          <w:kern w:val="0"/>
          <w:sz w:val="32"/>
          <w:szCs w:val="32"/>
          <w:highlight w:val="none"/>
          <w:u w:val="none"/>
          <w:lang w:val="en-US" w:eastAsia="zh-CN" w:bidi="ar"/>
        </w:rPr>
        <w:t>我市按照国家、部、省的相关文件规定和统一经办部署，贯彻落实退休人员基本养老金调整工作，适度提高城乡居民基础养老金标准。</w:t>
      </w:r>
      <w:r>
        <w:rPr>
          <w:rFonts w:ascii="仿宋_GB2312" w:eastAsia="仿宋_GB2312" w:cs="仿宋_GB2312"/>
          <w:color w:val="000000"/>
          <w:sz w:val="31"/>
          <w:szCs w:val="31"/>
        </w:rPr>
        <w:t>2024</w:t>
      </w:r>
      <w:r>
        <w:rPr>
          <w:rFonts w:hint="eastAsia" w:ascii="仿宋_GB2312" w:eastAsia="仿宋_GB2312" w:cs="仿宋_GB2312"/>
          <w:color w:val="000000"/>
          <w:sz w:val="31"/>
          <w:szCs w:val="31"/>
        </w:rPr>
        <w:t>年</w:t>
      </w:r>
      <w:r>
        <w:rPr>
          <w:rFonts w:hint="eastAsia" w:ascii="仿宋_GB2312" w:eastAsia="仿宋_GB2312" w:cs="仿宋_GB2312"/>
          <w:color w:val="000000"/>
          <w:sz w:val="31"/>
          <w:szCs w:val="31"/>
          <w:lang w:val="en-US" w:eastAsia="zh-CN"/>
        </w:rPr>
        <w:t>7月</w:t>
      </w:r>
      <w:r>
        <w:rPr>
          <w:rFonts w:ascii="仿宋_GB2312" w:eastAsia="仿宋_GB2312" w:cs="仿宋_GB2312"/>
          <w:color w:val="000000"/>
          <w:sz w:val="31"/>
          <w:szCs w:val="31"/>
          <w:lang w:val="en-US" w:eastAsia="zh-CN"/>
        </w:rPr>
        <w:t>调整</w:t>
      </w:r>
      <w:r>
        <w:rPr>
          <w:rFonts w:hint="eastAsia" w:ascii="仿宋_GB2312" w:eastAsia="仿宋_GB2312" w:cs="仿宋_GB2312"/>
          <w:color w:val="000000"/>
          <w:sz w:val="31"/>
          <w:szCs w:val="31"/>
        </w:rPr>
        <w:t>我市</w:t>
      </w:r>
      <w:r>
        <w:rPr>
          <w:rFonts w:ascii="仿宋_GB2312" w:eastAsia="仿宋_GB2312" w:cs="仿宋_GB2312"/>
          <w:color w:val="000000"/>
          <w:sz w:val="31"/>
          <w:szCs w:val="31"/>
          <w:lang w:val="en-US" w:eastAsia="zh-CN"/>
        </w:rPr>
        <w:t>退休人员基本养老金</w:t>
      </w:r>
      <w:r>
        <w:rPr>
          <w:rFonts w:hint="eastAsia" w:ascii="仿宋_GB2312" w:eastAsia="仿宋_GB2312" w:cs="仿宋_GB2312"/>
          <w:color w:val="000000"/>
          <w:sz w:val="31"/>
          <w:szCs w:val="31"/>
          <w:lang w:val="en-US" w:eastAsia="zh-CN"/>
        </w:rPr>
        <w:t>，</w:t>
      </w:r>
      <w:r>
        <w:rPr>
          <w:rFonts w:hint="eastAsia" w:ascii="仿宋_GB2312" w:eastAsia="仿宋_GB2312" w:cs="仿宋_GB2312"/>
          <w:color w:val="000000"/>
          <w:sz w:val="31"/>
          <w:szCs w:val="31"/>
        </w:rPr>
        <w:t>为71.17万名退休人员调整基本养老金</w:t>
      </w:r>
      <w:r>
        <w:rPr>
          <w:rFonts w:hint="eastAsia" w:ascii="仿宋_GB2312" w:eastAsia="仿宋_GB2312" w:cs="仿宋_GB2312"/>
          <w:color w:val="000000"/>
          <w:sz w:val="31"/>
          <w:szCs w:val="31"/>
          <w:lang w:eastAsia="zh-CN"/>
        </w:rPr>
        <w:t>；</w:t>
      </w:r>
      <w:r>
        <w:rPr>
          <w:rFonts w:ascii="仿宋_GB2312" w:eastAsia="仿宋_GB2312" w:cs="仿宋_GB2312"/>
          <w:color w:val="000000"/>
          <w:sz w:val="31"/>
          <w:szCs w:val="31"/>
        </w:rPr>
        <w:t>经市政府同意</w:t>
      </w:r>
      <w:r>
        <w:rPr>
          <w:rFonts w:hint="eastAsia" w:ascii="仿宋_GB2312" w:eastAsia="仿宋_GB2312" w:cs="仿宋_GB2312"/>
          <w:color w:val="000000"/>
          <w:sz w:val="31"/>
          <w:szCs w:val="31"/>
        </w:rPr>
        <w:t>印发了《深圳市人力资源和社会保障局深圳市财政局关于2024年提高我市居民基本养老保险基础养老金标准的通知》（深人社发〔2024〕46号），</w:t>
      </w:r>
      <w:r>
        <w:rPr>
          <w:rFonts w:ascii="仿宋_GB2312" w:eastAsia="仿宋_GB2312" w:cs="仿宋_GB2312"/>
          <w:color w:val="000000"/>
          <w:sz w:val="31"/>
          <w:szCs w:val="31"/>
        </w:rPr>
        <w:t>2024</w:t>
      </w:r>
      <w:r>
        <w:rPr>
          <w:rFonts w:hint="eastAsia" w:ascii="仿宋_GB2312" w:eastAsia="仿宋_GB2312" w:cs="仿宋_GB2312"/>
          <w:color w:val="000000"/>
          <w:sz w:val="31"/>
          <w:szCs w:val="31"/>
        </w:rPr>
        <w:t>年</w:t>
      </w:r>
      <w:r>
        <w:rPr>
          <w:rFonts w:hint="eastAsia" w:ascii="仿宋_GB2312" w:eastAsia="仿宋_GB2312" w:cs="仿宋_GB2312"/>
          <w:color w:val="000000"/>
          <w:sz w:val="31"/>
          <w:szCs w:val="31"/>
          <w:lang w:val="en-US" w:eastAsia="zh-CN"/>
        </w:rPr>
        <w:t>7月1日起，</w:t>
      </w:r>
      <w:r>
        <w:rPr>
          <w:rFonts w:hint="eastAsia" w:ascii="仿宋_GB2312" w:eastAsia="仿宋_GB2312" w:cs="仿宋_GB2312"/>
          <w:color w:val="000000"/>
          <w:sz w:val="31"/>
          <w:szCs w:val="31"/>
          <w:lang w:eastAsia="zh-CN"/>
        </w:rPr>
        <w:t>提高</w:t>
      </w:r>
      <w:r>
        <w:rPr>
          <w:rFonts w:hint="eastAsia" w:ascii="仿宋_GB2312" w:eastAsia="仿宋_GB2312" w:cs="仿宋_GB2312"/>
          <w:color w:val="000000"/>
          <w:sz w:val="31"/>
          <w:szCs w:val="31"/>
        </w:rPr>
        <w:t>我市居民基本养老保</w:t>
      </w:r>
      <w:r>
        <w:rPr>
          <w:rFonts w:hint="eastAsia" w:ascii="仿宋_GB2312" w:hAnsi="仿宋_GB2312" w:eastAsia="仿宋_GB2312" w:cs="仿宋_GB2312"/>
          <w:sz w:val="32"/>
          <w:szCs w:val="32"/>
        </w:rPr>
        <w:t>险基础养老金标准</w:t>
      </w:r>
      <w:r>
        <w:rPr>
          <w:rFonts w:hint="eastAsia" w:ascii="仿宋_GB2312" w:hAnsi="仿宋_GB2312" w:eastAsia="仿宋_GB2312" w:cs="仿宋_GB2312"/>
          <w:sz w:val="32"/>
          <w:szCs w:val="32"/>
          <w:lang w:eastAsia="zh-CN"/>
        </w:rPr>
        <w:t>，</w:t>
      </w:r>
      <w:r>
        <w:rPr>
          <w:rFonts w:ascii="仿宋_GB2312" w:hAnsi="宋体" w:eastAsia="仿宋_GB2312" w:cs="仿宋_GB2312"/>
          <w:color w:val="000000"/>
          <w:kern w:val="0"/>
          <w:sz w:val="31"/>
          <w:szCs w:val="31"/>
          <w:lang w:val="en-US" w:eastAsia="zh-CN" w:bidi="ar"/>
        </w:rPr>
        <w:t>为</w:t>
      </w:r>
      <w:r>
        <w:rPr>
          <w:rFonts w:hint="eastAsia" w:ascii="仿宋_GB2312" w:hAnsi="宋体" w:eastAsia="仿宋_GB2312" w:cs="仿宋_GB2312"/>
          <w:color w:val="000000"/>
          <w:kern w:val="0"/>
          <w:sz w:val="31"/>
          <w:szCs w:val="31"/>
          <w:lang w:val="en-US" w:eastAsia="zh-CN" w:bidi="ar"/>
        </w:rPr>
        <w:t>5893名领取居民养老金的参保人</w:t>
      </w:r>
      <w:r>
        <w:rPr>
          <w:rFonts w:ascii="仿宋_GB2312" w:eastAsia="仿宋_GB2312" w:cs="仿宋_GB2312"/>
          <w:color w:val="000000"/>
          <w:sz w:val="31"/>
          <w:szCs w:val="31"/>
        </w:rPr>
        <w:t>提高基础养老金</w:t>
      </w:r>
      <w:r>
        <w:rPr>
          <w:rFonts w:hint="eastAsia" w:ascii="仿宋_GB2312" w:eastAsia="仿宋_GB2312" w:cs="仿宋_GB2312"/>
          <w:color w:val="000000"/>
          <w:sz w:val="31"/>
          <w:szCs w:val="31"/>
          <w:lang w:eastAsia="zh-CN"/>
        </w:rPr>
        <w:t>。</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近年来，在民政部、省民政厅的指导支持下，深圳市认真贯彻落实习近平总书记关于民政工作的重要论述和重要指示批示精神，深入落实中央和省、市关于改革完善社会救助制度的部署要求，坚持以人民为中心的发展思想，健全分层分类社会救助体系，确保兜住底、兜准底、兜好底。</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（一）完善救助圈层，提高救助保障水平</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是印发实施最低生活保障办法、临时救助办法、低保边缘家庭和支出型困难家庭救助等系列文件，社会救助对象拓宽至非户籍家庭成员，将在深经常居住的符合条件的家庭成员纳入保障范围。二是提高最低生活保障标准，特困人员基本生活供养金标准、低保边缘家庭认定标准分别提高至每人每月1483元、2373元、2225元。三是为低保、低保边缘家庭和支出型困难家庭发放生活扶助金，扩大对残疾人等群体的倾斜救助；结合中秋、春节等传统节日，指导有条件的区通过增发一次性生活补贴等方式，切实保障困难群众基本生活。深圳市2025年春节慰问低保对象、低保边缘家庭、特困人员共6383人，发放慰问金约598.39万元，发放大米、食用油、水果、坚果礼盒等慰问物资折价约109.18万元。四是发挥社会救助托底线、救急难的作用，通过临时救助解决困难群众突发性、紧迫性、临时性基本生活困难。</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截至2024年12月底，全市共有低保对象1910户、3904人，低保边缘家庭106户、265人，特困人员744人，救助临时遇困人员1943人次，累计发放各类社会救助资金约9570.2万元，困难群众的基本生活权益得到较好保障。</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（二）优化救助流程，确保救助时效性</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是压缩审核确认时限，要求低保审核确认在23个工作日内办结（不含公示日期），加快审核速度，确保困难群众尽快获得保障。二是简化审批流程，对于急难型临时救助，明确可先行救助，事后补齐审核审批手续，发挥临时救助“救急难”作用。对于小额救助，明确区民政部门可以委托街道办事处审批，报区民政部门备案。</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（三）强化低收入人口动态监测，协同完善主动发现机制</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以省低收入人口动态监测信息平台、深圳市综合救助平台建设为抓手，畅通部门间信息交流渠道，联合市医保部门建立高额医疗费用支出预警监测机制，将防范化解因病致贫返贫的关口进一步前移。市医保局按月将基本医保参保人医疗费用支出达到预警标准的预警对象信息推送至市民政局，由市民政局通过数据比对将其纳入低收入人口动态监测范畴，及时捕捉风险“弱信号”。区、街道民政部门通过电话联系、实地走访线下核查，及时发现需救助的困难群众。自2025年1月实施以来，累计对超9000人次信息进行比对，生成达到预警标准的预警信息94条，并在核查后及时将其中14名对象纳入基本生活救助、临时救助范围或转介慈善帮扶，实现社会救助的信息共享和联合实施。</w:t>
      </w:r>
    </w:p>
    <w:p>
      <w:pPr>
        <w:pStyle w:val="2"/>
        <w:keepNext w:val="0"/>
        <w:keepLines w:val="0"/>
        <w:pageBreakBefore w:val="0"/>
        <w:kinsoku/>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专此答复，再次感谢您对深圳发展的关心与支持！</w:t>
      </w:r>
    </w:p>
    <w:p>
      <w:pPr>
        <w:pStyle w:val="2"/>
        <w:keepNext w:val="0"/>
        <w:keepLines w:val="0"/>
        <w:pageBreakBefore w:val="0"/>
        <w:kinsoku/>
        <w:overflowPunct/>
        <w:topLinePunct w:val="0"/>
        <w:autoSpaceDE/>
        <w:autoSpaceDN/>
        <w:bidi w:val="0"/>
        <w:spacing w:line="560" w:lineRule="exact"/>
        <w:textAlignment w:val="auto"/>
        <w:rPr>
          <w:rFonts w:hint="eastAsia" w:ascii="仿宋_GB2312" w:hAnsi="仿宋_GB2312" w:eastAsia="仿宋_GB2312" w:cs="仿宋_GB2312"/>
          <w:b w:val="0"/>
          <w:bCs w:val="0"/>
          <w:sz w:val="32"/>
          <w:szCs w:val="32"/>
          <w:lang w:val="en-US" w:eastAsia="zh-CN"/>
        </w:rPr>
      </w:pPr>
    </w:p>
    <w:p>
      <w:pPr>
        <w:pStyle w:val="2"/>
        <w:keepNext w:val="0"/>
        <w:keepLines w:val="0"/>
        <w:pageBreakBefore w:val="0"/>
        <w:kinsoku/>
        <w:overflowPunct/>
        <w:topLinePunct w:val="0"/>
        <w:autoSpaceDE/>
        <w:autoSpaceDN/>
        <w:bidi w:val="0"/>
        <w:spacing w:line="56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firstLine="480" w:firstLineChars="150"/>
        <w:jc w:val="left"/>
        <w:textAlignment w:val="auto"/>
        <w:rPr>
          <w:rFonts w:ascii="仿宋_GB2312" w:eastAsia="仿宋_GB2312"/>
          <w:sz w:val="32"/>
          <w:szCs w:val="32"/>
          <w:highlight w:val="none"/>
        </w:rPr>
      </w:pPr>
      <w:r>
        <w:rPr>
          <w:rFonts w:hint="default" w:ascii="仿宋_GB2312" w:eastAsia="仿宋_GB2312"/>
          <w:sz w:val="32"/>
          <w:szCs w:val="32"/>
          <w:highlight w:val="none"/>
        </w:rPr>
        <w:t xml:space="preserve">                                  </w:t>
      </w:r>
      <w:r>
        <w:rPr>
          <w:rFonts w:ascii="仿宋_GB2312" w:eastAsia="仿宋_GB2312"/>
          <w:sz w:val="32"/>
          <w:szCs w:val="32"/>
          <w:highlight w:val="none"/>
        </w:rPr>
        <w:t>深圳市商务局</w:t>
      </w:r>
    </w:p>
    <w:p>
      <w:pPr>
        <w:keepNext w:val="0"/>
        <w:keepLines w:val="0"/>
        <w:pageBreakBefore w:val="0"/>
        <w:widowControl w:val="0"/>
        <w:kinsoku/>
        <w:wordWrap/>
        <w:overflowPunct/>
        <w:topLinePunct w:val="0"/>
        <w:autoSpaceDE/>
        <w:autoSpaceDN/>
        <w:bidi w:val="0"/>
        <w:spacing w:line="560" w:lineRule="exact"/>
        <w:ind w:firstLine="480" w:firstLineChars="150"/>
        <w:jc w:val="center"/>
        <w:textAlignment w:val="auto"/>
        <w:rPr>
          <w:rFonts w:ascii="仿宋_GB2312" w:eastAsia="仿宋_GB2312"/>
          <w:sz w:val="32"/>
          <w:szCs w:val="32"/>
          <w:highlight w:val="none"/>
        </w:rPr>
      </w:pPr>
      <w:r>
        <w:rPr>
          <w:rFonts w:hint="default" w:ascii="仿宋_GB2312" w:eastAsia="仿宋_GB2312"/>
          <w:sz w:val="32"/>
          <w:szCs w:val="32"/>
          <w:highlight w:val="none"/>
        </w:rPr>
        <w:t xml:space="preserve">                            </w:t>
      </w:r>
      <w:r>
        <w:rPr>
          <w:rFonts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ascii="仿宋_GB2312" w:eastAsia="仿宋_GB2312"/>
          <w:sz w:val="32"/>
          <w:szCs w:val="32"/>
          <w:highlight w:val="none"/>
        </w:rPr>
        <w:t>年</w:t>
      </w:r>
      <w:r>
        <w:rPr>
          <w:rFonts w:hint="eastAsia" w:ascii="仿宋_GB2312" w:eastAsia="仿宋_GB2312"/>
          <w:sz w:val="32"/>
          <w:szCs w:val="32"/>
          <w:highlight w:val="none"/>
          <w:lang w:val="en-US" w:eastAsia="zh-CN"/>
        </w:rPr>
        <w:t>8</w:t>
      </w:r>
      <w:r>
        <w:rPr>
          <w:rFonts w:ascii="仿宋_GB2312" w:eastAsia="仿宋_GB2312"/>
          <w:sz w:val="32"/>
          <w:szCs w:val="32"/>
          <w:highlight w:val="none"/>
        </w:rPr>
        <w:t>月</w:t>
      </w:r>
      <w:r>
        <w:rPr>
          <w:rFonts w:hint="default" w:ascii="仿宋_GB2312" w:eastAsia="仿宋_GB2312"/>
          <w:sz w:val="32"/>
          <w:szCs w:val="32"/>
          <w:highlight w:val="none"/>
          <w:lang w:val="en-US" w:eastAsia="zh-CN"/>
        </w:rPr>
        <w:t>15</w:t>
      </w:r>
      <w:r>
        <w:rPr>
          <w:rFonts w:ascii="仿宋_GB2312" w:eastAsia="仿宋_GB2312"/>
          <w:sz w:val="32"/>
          <w:szCs w:val="32"/>
          <w:highlight w:val="none"/>
        </w:rPr>
        <w:t>日</w:t>
      </w:r>
    </w:p>
    <w:p>
      <w:pPr>
        <w:keepNext w:val="0"/>
        <w:keepLines w:val="0"/>
        <w:pageBreakBefore w:val="0"/>
        <w:widowControl w:val="0"/>
        <w:kinsoku/>
        <w:wordWrap/>
        <w:overflowPunct/>
        <w:topLinePunct w:val="0"/>
        <w:autoSpaceDE/>
        <w:autoSpaceDN/>
        <w:bidi w:val="0"/>
        <w:spacing w:line="560" w:lineRule="exact"/>
        <w:ind w:firstLine="480" w:firstLineChars="150"/>
        <w:jc w:val="center"/>
        <w:textAlignment w:val="auto"/>
        <w:rPr>
          <w:rFonts w:ascii="仿宋_GB2312" w:eastAsia="仿宋_GB2312"/>
          <w:sz w:val="32"/>
          <w:szCs w:val="32"/>
          <w:highlight w:val="none"/>
        </w:rPr>
      </w:pPr>
    </w:p>
    <w:p>
      <w:pPr>
        <w:keepNext w:val="0"/>
        <w:keepLines w:val="0"/>
        <w:pageBreakBefore w:val="0"/>
        <w:widowControl w:val="0"/>
        <w:kinsoku/>
        <w:wordWrap/>
        <w:overflowPunct/>
        <w:topLinePunct w:val="0"/>
        <w:autoSpaceDE/>
        <w:autoSpaceDN/>
        <w:bidi w:val="0"/>
        <w:spacing w:line="560" w:lineRule="exact"/>
        <w:ind w:firstLine="480" w:firstLineChars="150"/>
        <w:jc w:val="both"/>
        <w:textAlignment w:val="auto"/>
        <w:rPr>
          <w:rFonts w:ascii="仿宋_GB2312" w:eastAsia="仿宋_GB2312"/>
          <w:sz w:val="32"/>
          <w:szCs w:val="32"/>
          <w:highlight w:val="none"/>
        </w:rPr>
      </w:pPr>
      <w:bookmarkStart w:id="0" w:name="_GoBack"/>
      <w:bookmarkEnd w:id="0"/>
    </w:p>
    <w:p>
      <w:pPr>
        <w:pStyle w:val="2"/>
        <w:keepNext w:val="0"/>
        <w:keepLines w:val="0"/>
        <w:pageBreakBefore w:val="0"/>
        <w:kinsoku/>
        <w:overflowPunct/>
        <w:topLinePunct w:val="0"/>
        <w:autoSpaceDE/>
        <w:autoSpaceDN/>
        <w:bidi w:val="0"/>
        <w:spacing w:line="560" w:lineRule="exact"/>
        <w:textAlignment w:val="auto"/>
        <w:rPr>
          <w:rFonts w:hint="default" w:ascii="仿宋_GB2312" w:hAnsi="仿宋_GB2312" w:eastAsia="仿宋_GB2312" w:cs="仿宋_GB2312"/>
          <w:b w:val="0"/>
          <w:bCs w:val="0"/>
          <w:sz w:val="32"/>
          <w:szCs w:val="32"/>
          <w:lang w:val="en-US" w:eastAsia="zh-CN"/>
        </w:rPr>
      </w:pPr>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modern"/>
    <w:pitch w:val="default"/>
    <w:sig w:usb0="00000000" w:usb1="00000000"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Arial Unicode MS">
    <w:altName w:val="DejaVu Sans"/>
    <w:panose1 w:val="020B0604020202020204"/>
    <w:charset w:val="00"/>
    <w:family w:val="roman"/>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A0201"/>
    <w:rsid w:val="32661CC0"/>
    <w:rsid w:val="37B79826"/>
    <w:rsid w:val="37DF6862"/>
    <w:rsid w:val="3F9FC290"/>
    <w:rsid w:val="590758C5"/>
    <w:rsid w:val="76FB8657"/>
    <w:rsid w:val="7BFB4BF0"/>
    <w:rsid w:val="7FFD4E2A"/>
    <w:rsid w:val="BEED8EDC"/>
    <w:rsid w:val="D6FC2447"/>
    <w:rsid w:val="EFBFEBC1"/>
    <w:rsid w:val="FF9FC742"/>
    <w:rsid w:val="FFAF9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before="15"/>
      <w:ind w:left="1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2022-08-09T01:03:00Z</dcterms:created>
  <dc:creator>禾禾</dc:creator>
  <cp:lastModifiedBy>文件收发（黄俊源）</cp:lastModifiedBy>
  <cp:lastPrinted>2022-08-11T19:42:00Z</cp:lastPrinted>
  <dcterms:modified xsi:type="dcterms:W3CDTF">2025-11-04T16:19:32Z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KSOTemplateDocerSaveRecord">
    <vt:lpwstr>eyJoZGlkIjoiYmUxZmZmOTdjZjc4NWRhODk0MTg5Yzk1YjAwOTA3ZWIiLCJ1c2VySWQiOiI3MjE3Mzg2NDcifQ==</vt:lpwstr>
  </property>
  <property fmtid="{D5CDD505-2E9C-101B-9397-08002B2CF9AE}" pid="4" name="ICV">
    <vt:lpwstr>40AA5C334D9D473E888E17C247B592D4_12</vt:lpwstr>
  </property>
</Properties>
</file>