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深圳市商务局关于对市政协七届五次会议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第20250492号提案答复意见的函</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尊敬的张煜委员：</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您在市政协七届五次会议第20250492号《关于发挥深圳的跨境服务优势，打造具有全球竞争力的农业产业互联网平台的建议》收悉，经认真研究并汇总有关部门意见，现就提案答复如下：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rPr>
      </w:pPr>
      <w:r>
        <w:rPr>
          <w:rFonts w:hint="eastAsia" w:ascii="黑体" w:hAnsi="黑体" w:eastAsia="黑体" w:cs="黑体"/>
          <w:sz w:val="32"/>
          <w:szCs w:val="32"/>
        </w:rPr>
        <w:t>一、关于“大力推进现代化农业产业流通体系建设，发展智慧农业，加快发展新质生产力”的建议</w:t>
      </w:r>
    </w:p>
    <w:p>
      <w:pPr>
        <w:keepNext w:val="0"/>
        <w:keepLines w:val="0"/>
        <w:pageBreakBefore w:val="0"/>
        <w:widowControl w:val="0"/>
        <w:kinsoku/>
        <w:wordWrap/>
        <w:overflowPunct/>
        <w:topLinePunct w:val="0"/>
        <w:autoSpaceDE/>
        <w:autoSpaceDN/>
        <w:bidi w:val="0"/>
        <w:adjustRightInd/>
        <w:snapToGrid/>
        <w:spacing w:line="500" w:lineRule="exact"/>
        <w:ind w:firstLine="642" w:firstLineChars="200"/>
        <w:jc w:val="both"/>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b/>
          <w:bCs/>
          <w:sz w:val="32"/>
          <w:szCs w:val="32"/>
          <w:lang w:eastAsia="zh-CN"/>
        </w:rPr>
        <w:t>一是</w:t>
      </w:r>
      <w:r>
        <w:rPr>
          <w:rFonts w:hint="default" w:ascii="仿宋_GB2312" w:hAnsi="仿宋_GB2312" w:eastAsia="仿宋_GB2312" w:cs="仿宋_GB2312"/>
          <w:sz w:val="32"/>
          <w:szCs w:val="32"/>
          <w:lang w:eastAsia="zh-CN"/>
        </w:rPr>
        <w:t>坚持统筹推进，加强顶层设计。推动农业产业高质量发展系列政策措施落地，支持各类创新主体开展推动关键核心技术攻关，支持建设现代科技成果转化、数据共享等市级重大产业公共服务平台，提升农业科技创新能级。</w:t>
      </w:r>
      <w:r>
        <w:rPr>
          <w:rFonts w:hint="default" w:ascii="仿宋_GB2312" w:hAnsi="仿宋_GB2312" w:eastAsia="仿宋_GB2312" w:cs="仿宋_GB2312"/>
          <w:b/>
          <w:bCs/>
          <w:sz w:val="32"/>
          <w:szCs w:val="32"/>
          <w:lang w:eastAsia="zh-CN"/>
        </w:rPr>
        <w:t>二是</w:t>
      </w:r>
      <w:r>
        <w:rPr>
          <w:rFonts w:hint="default" w:ascii="仿宋_GB2312" w:hAnsi="仿宋_GB2312" w:eastAsia="仿宋_GB2312" w:cs="仿宋_GB2312"/>
          <w:sz w:val="32"/>
          <w:szCs w:val="32"/>
          <w:lang w:eastAsia="zh-CN"/>
        </w:rPr>
        <w:t>高度重视智慧农业企业培育。收集整理精准农业、智能农机装备、农业大数据与人工智能等智慧农业软硬件产品、技术清单，积极推荐智慧农业建设典型案例。2024全省50项智慧农业案例中，深圳入围9个项目。</w:t>
      </w:r>
      <w:r>
        <w:rPr>
          <w:rFonts w:hint="default" w:ascii="仿宋_GB2312" w:hAnsi="仿宋_GB2312" w:eastAsia="仿宋_GB2312" w:cs="仿宋_GB2312"/>
          <w:b/>
          <w:bCs/>
          <w:sz w:val="32"/>
          <w:szCs w:val="32"/>
          <w:lang w:eastAsia="zh-CN"/>
        </w:rPr>
        <w:t>三是</w:t>
      </w:r>
      <w:r>
        <w:rPr>
          <w:rFonts w:hint="default" w:ascii="仿宋_GB2312" w:hAnsi="仿宋_GB2312" w:eastAsia="仿宋_GB2312" w:cs="仿宋_GB2312"/>
          <w:sz w:val="32"/>
          <w:szCs w:val="32"/>
          <w:lang w:eastAsia="zh-CN"/>
        </w:rPr>
        <w:t>鼓励支持企业申报国家项目。组织专家开展项目实施条件实地核查，推荐深圳数影科技有限公司承担国家重点研发计划重点专项项目“猪智能精准饲喂与环控技术集成示范（集成推广类）”项目。组织开展农机装备“两重”项目储备，支持深圳市大疆创新科技有限公司建设农业无人机综合性能测试中心，加快智慧农机装备中试熟化并申报农机龙头型科技领军企业。</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default" w:ascii="仿宋_GB2312" w:hAnsi="仿宋_GB2312" w:eastAsia="仿宋_GB2312" w:cs="仿宋_GB2312"/>
          <w:sz w:val="32"/>
          <w:szCs w:val="32"/>
          <w:lang w:eastAsia="zh-CN"/>
        </w:rPr>
      </w:pPr>
      <w:r>
        <w:rPr>
          <w:rFonts w:hint="eastAsia" w:ascii="黑体" w:hAnsi="黑体" w:eastAsia="黑体" w:cs="黑体"/>
          <w:sz w:val="32"/>
          <w:szCs w:val="32"/>
          <w:lang w:eastAsia="zh-CN"/>
        </w:rPr>
        <w:t>二、关于“打造具有全球竞争力的农业产业互联网平台，推动农业产业供应链金融‘脱核’模式，给予平台企业税务支持”的建议</w:t>
      </w:r>
    </w:p>
    <w:p>
      <w:pPr>
        <w:keepNext w:val="0"/>
        <w:keepLines w:val="0"/>
        <w:pageBreakBefore w:val="0"/>
        <w:widowControl w:val="0"/>
        <w:kinsoku/>
        <w:wordWrap/>
        <w:overflowPunct/>
        <w:topLinePunct w:val="0"/>
        <w:autoSpaceDE/>
        <w:autoSpaceDN/>
        <w:bidi w:val="0"/>
        <w:adjustRightInd/>
        <w:snapToGrid/>
        <w:spacing w:line="500" w:lineRule="exact"/>
        <w:ind w:firstLine="642" w:firstLineChars="200"/>
        <w:jc w:val="both"/>
        <w:textAlignment w:val="auto"/>
        <w:rPr>
          <w:rFonts w:hint="eastAsia" w:ascii="仿宋_GB2312" w:hAnsi="仿宋_GB2312" w:eastAsia="仿宋_GB2312" w:cs="仿宋_GB2312"/>
          <w:sz w:val="32"/>
          <w:szCs w:val="32"/>
          <w:lang w:eastAsia="zh-CN"/>
        </w:rPr>
      </w:pPr>
      <w:r>
        <w:rPr>
          <w:rFonts w:hint="default" w:ascii="仿宋_GB2312" w:hAnsi="仿宋_GB2312" w:eastAsia="仿宋_GB2312" w:cs="仿宋_GB2312"/>
          <w:b/>
          <w:bCs/>
          <w:sz w:val="32"/>
          <w:szCs w:val="32"/>
          <w:lang w:eastAsia="zh-CN"/>
        </w:rPr>
        <w:t>一是</w:t>
      </w:r>
      <w:r>
        <w:rPr>
          <w:rFonts w:hint="default" w:ascii="仿宋_GB2312" w:hAnsi="仿宋_GB2312" w:eastAsia="仿宋_GB2312" w:cs="仿宋_GB2312"/>
          <w:sz w:val="32"/>
          <w:szCs w:val="32"/>
          <w:lang w:eastAsia="zh-CN"/>
        </w:rPr>
        <w:t>市委金融办会同市市场监督管理局等部门联合印发《深圳市提升农产品供应链金融支持能力的若干措施》,提升农产品供应链金融支持能力,从增强金融机构对农产品供应链的创新服务能力、强化农产品供应链核心企业的示范带动作用、提升农产品供应链金融配套服务能级等十个方面为供应链企业在深发展提供政策支持,进一步推动农产品供应链高质量发展。</w:t>
      </w:r>
      <w:r>
        <w:rPr>
          <w:rFonts w:hint="default"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根据《国家税务总局深圳市税务局关于开展全面数字化的电子发票试点工作的公告》（国家税务总局深圳市税务局公告2023年第3号），税务机关对试点纳税人开票实行开具金额总额度管理。税务机关依据试点纳税人的税收风险程度、纳税信用级别、实际经营情况等因素，确定初始开具金额总额度，并进行定期调整、临时调整或人工调整。</w:t>
      </w:r>
      <w:r>
        <w:rPr>
          <w:rFonts w:hint="default" w:ascii="仿宋_GB2312" w:hAnsi="仿宋_GB2312" w:eastAsia="仿宋_GB2312" w:cs="仿宋_GB2312"/>
          <w:b/>
          <w:bCs/>
          <w:sz w:val="32"/>
          <w:szCs w:val="32"/>
          <w:lang w:eastAsia="zh-CN"/>
        </w:rPr>
        <w:t>三是</w:t>
      </w:r>
      <w:r>
        <w:rPr>
          <w:rFonts w:hint="eastAsia" w:ascii="仿宋_GB2312" w:hAnsi="仿宋_GB2312" w:eastAsia="仿宋_GB2312" w:cs="仿宋_GB2312"/>
          <w:sz w:val="32"/>
          <w:szCs w:val="32"/>
          <w:lang w:eastAsia="zh-CN"/>
        </w:rPr>
        <w:t>深圳市对已使用增值税发票管理系统开具发票的纳税人，采取平移发票用量的方式，以纳税人通过增值税发票管理系统开具的发票领用份数与单份发票最高开票限额之积确定初始发票额度，保证纳税人的发票使用。针对新办纳税人，目前初始开票额度为50万元，满足绝大多数新办纳税人发票使用需求。该初始额度与广东省局保持一致，确保全省境内纳税人发票使用的一致性。</w:t>
      </w:r>
      <w:r>
        <w:rPr>
          <w:rFonts w:hint="default" w:ascii="仿宋_GB2312" w:hAnsi="仿宋_GB2312" w:eastAsia="仿宋_GB2312" w:cs="仿宋_GB2312"/>
          <w:b/>
          <w:bCs/>
          <w:sz w:val="32"/>
          <w:szCs w:val="32"/>
          <w:lang w:eastAsia="zh-CN"/>
        </w:rPr>
        <w:t>四是</w:t>
      </w:r>
      <w:r>
        <w:rPr>
          <w:rFonts w:hint="eastAsia" w:ascii="仿宋_GB2312" w:hAnsi="仿宋_GB2312" w:eastAsia="仿宋_GB2312" w:cs="仿宋_GB2312"/>
          <w:sz w:val="32"/>
          <w:szCs w:val="32"/>
          <w:lang w:eastAsia="zh-CN"/>
        </w:rPr>
        <w:t>实行定期调整、临时调整或人工调整相结合的方式对纳税人发票额度实行动态调整，对确有用票需求的纳税人，税务机关依法依规调整纳税人发票使用额度。</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default" w:ascii="仿宋_GB2312" w:hAnsi="仿宋_GB2312" w:eastAsia="仿宋_GB2312" w:cs="仿宋_GB2312"/>
          <w:sz w:val="32"/>
          <w:szCs w:val="32"/>
          <w:lang w:eastAsia="zh-CN"/>
        </w:rPr>
      </w:pPr>
      <w:r>
        <w:rPr>
          <w:rFonts w:hint="eastAsia" w:ascii="黑体" w:hAnsi="黑体" w:eastAsia="黑体" w:cs="黑体"/>
          <w:sz w:val="32"/>
          <w:szCs w:val="32"/>
          <w:lang w:eastAsia="zh-CN"/>
        </w:rPr>
        <w:t>三、关于“对标国际先进水平，加强标准化，提升话语权，探索打通阻碍内外贸一体化的制度堵点”的建议</w:t>
      </w:r>
    </w:p>
    <w:p>
      <w:pPr>
        <w:keepNext w:val="0"/>
        <w:keepLines w:val="0"/>
        <w:pageBreakBefore w:val="0"/>
        <w:widowControl w:val="0"/>
        <w:kinsoku/>
        <w:wordWrap/>
        <w:overflowPunct/>
        <w:topLinePunct w:val="0"/>
        <w:autoSpaceDE/>
        <w:autoSpaceDN/>
        <w:bidi w:val="0"/>
        <w:adjustRightInd/>
        <w:snapToGrid/>
        <w:spacing w:line="500" w:lineRule="exact"/>
        <w:ind w:firstLine="642"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bCs/>
          <w:sz w:val="32"/>
          <w:szCs w:val="32"/>
          <w:lang w:eastAsia="zh-CN"/>
        </w:rPr>
        <w:t>一是</w:t>
      </w:r>
      <w:r>
        <w:rPr>
          <w:rFonts w:hint="default" w:ascii="仿宋_GB2312" w:hAnsi="仿宋_GB2312" w:eastAsia="仿宋_GB2312" w:cs="仿宋_GB2312"/>
          <w:sz w:val="32"/>
          <w:szCs w:val="32"/>
          <w:lang w:eastAsia="zh-CN"/>
        </w:rPr>
        <w:t>推进内外贸产品同线同标同质。优化“同线同标同质”产品认定方式，鼓励企业对其产品满足“三同”要求作出自我声明或委托第三方机构进行认证。加强“三同”企业和产品宣传推广，提高消费者认知度。支持专业机构提供“三同”检测认证等技术服务，鼓励各方采信“三同”认证结果。</w:t>
      </w:r>
      <w:r>
        <w:rPr>
          <w:rFonts w:hint="default" w:ascii="仿宋_GB2312" w:hAnsi="仿宋_GB2312" w:eastAsia="仿宋_GB2312" w:cs="仿宋_GB2312"/>
          <w:b/>
          <w:bCs/>
          <w:sz w:val="32"/>
          <w:szCs w:val="32"/>
          <w:lang w:eastAsia="zh-CN"/>
        </w:rPr>
        <w:t>二是</w:t>
      </w:r>
      <w:r>
        <w:rPr>
          <w:rFonts w:hint="default" w:ascii="仿宋_GB2312" w:hAnsi="仿宋_GB2312" w:eastAsia="仿宋_GB2312" w:cs="仿宋_GB2312"/>
          <w:sz w:val="32"/>
          <w:szCs w:val="32"/>
          <w:lang w:eastAsia="zh-CN"/>
        </w:rPr>
        <w:t>促进内外贸检验认证衔接。鼓励检验检测认证机构加强对出口转内销产品强制性产品认证绿色通道的宣传，为内外贸企业提供“一站式”服务。鼓励符合资质要求的检验检测机构参与进出口商品检验采信。支持专业机构拓展内外贸检测认证资质范围和服务领域。</w:t>
      </w:r>
      <w:r>
        <w:rPr>
          <w:rFonts w:hint="default" w:ascii="仿宋_GB2312" w:hAnsi="仿宋_GB2312" w:eastAsia="仿宋_GB2312" w:cs="仿宋_GB2312"/>
          <w:b/>
          <w:bCs/>
          <w:sz w:val="32"/>
          <w:szCs w:val="32"/>
          <w:lang w:eastAsia="zh-CN"/>
        </w:rPr>
        <w:t>三是</w:t>
      </w:r>
      <w:r>
        <w:rPr>
          <w:rFonts w:hint="default" w:ascii="仿宋_GB2312" w:hAnsi="仿宋_GB2312" w:eastAsia="仿宋_GB2312" w:cs="仿宋_GB2312"/>
          <w:sz w:val="32"/>
          <w:szCs w:val="32"/>
          <w:lang w:eastAsia="zh-CN"/>
        </w:rPr>
        <w:t>推进贸易数字化转型。推动供应链企业自建数字平台，支持企业数字平台对接中国（深圳）国际贸易“单一窗口”，鼓励供应链企业为中小外贸企业提供贸易数字化解决方案。支持船公司利用区块链技术实现航运电子提单的流转和跨链协同，深入开展电子提单应用探索，促进跨境贸易单证申报服务便利化。</w:t>
      </w:r>
      <w:r>
        <w:rPr>
          <w:rFonts w:hint="eastAsia" w:ascii="仿宋_GB2312" w:hAnsi="仿宋_GB2312" w:eastAsia="仿宋_GB2312" w:cs="仿宋_GB2312"/>
          <w:b/>
          <w:bCs/>
          <w:sz w:val="32"/>
          <w:szCs w:val="32"/>
          <w:lang w:eastAsia="zh-CN"/>
        </w:rPr>
        <w:t>四是</w:t>
      </w:r>
      <w:r>
        <w:rPr>
          <w:rFonts w:hint="eastAsia" w:ascii="仿宋_GB2312" w:hAnsi="仿宋_GB2312" w:eastAsia="仿宋_GB2312" w:cs="仿宋_GB2312"/>
          <w:sz w:val="32"/>
          <w:szCs w:val="32"/>
          <w:lang w:eastAsia="zh-CN"/>
        </w:rPr>
        <w:t>探索进口消费联动试点。</w:t>
      </w:r>
      <w:r>
        <w:rPr>
          <w:rFonts w:hint="eastAsia" w:ascii="仿宋_GB2312" w:hAnsi="仿宋_GB2312" w:eastAsia="仿宋_GB2312" w:cs="仿宋_GB2312"/>
          <w:b w:val="0"/>
          <w:bCs w:val="0"/>
          <w:sz w:val="32"/>
          <w:szCs w:val="32"/>
          <w:highlight w:val="none"/>
          <w:lang w:val="en-US" w:eastAsia="zh-CN"/>
        </w:rPr>
        <w:t>推进进口龙头企业与商超头部企业联动，探索打造进口高端肉类及水产品商超直采直销业务试点，以消费带动进口，促进内外贸一体化发展。</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default" w:ascii="仿宋_GB2312" w:hAnsi="仿宋_GB2312" w:eastAsia="仿宋_GB2312" w:cs="仿宋_GB2312"/>
          <w:sz w:val="32"/>
          <w:szCs w:val="32"/>
          <w:lang w:eastAsia="zh-CN"/>
        </w:rPr>
      </w:pPr>
      <w:r>
        <w:rPr>
          <w:rFonts w:hint="default" w:ascii="黑体" w:hAnsi="黑体" w:eastAsia="黑体" w:cs="黑体"/>
          <w:sz w:val="32"/>
          <w:szCs w:val="32"/>
          <w:lang w:eastAsia="zh-CN"/>
        </w:rPr>
        <w:t>四、关于“深化农业产业对外合作，扩大进口规模，充分发挥行业协会作用，鼓励成立跨境农产品产业联盟”的建议</w:t>
      </w:r>
    </w:p>
    <w:p>
      <w:pPr>
        <w:keepNext w:val="0"/>
        <w:keepLines w:val="0"/>
        <w:pageBreakBefore w:val="0"/>
        <w:widowControl w:val="0"/>
        <w:kinsoku/>
        <w:wordWrap/>
        <w:overflowPunct/>
        <w:topLinePunct w:val="0"/>
        <w:autoSpaceDE/>
        <w:autoSpaceDN/>
        <w:bidi w:val="0"/>
        <w:adjustRightInd/>
        <w:snapToGrid/>
        <w:spacing w:line="500" w:lineRule="exact"/>
        <w:ind w:firstLine="642" w:firstLineChars="200"/>
        <w:jc w:val="both"/>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b/>
          <w:bCs/>
          <w:sz w:val="32"/>
          <w:szCs w:val="32"/>
          <w:lang w:eastAsia="zh-CN"/>
        </w:rPr>
        <w:t>一是</w:t>
      </w:r>
      <w:r>
        <w:rPr>
          <w:rFonts w:hint="default" w:ascii="仿宋_GB2312" w:hAnsi="仿宋_GB2312" w:eastAsia="仿宋_GB2312" w:cs="仿宋_GB2312"/>
          <w:sz w:val="32"/>
          <w:szCs w:val="32"/>
          <w:lang w:eastAsia="zh-CN"/>
        </w:rPr>
        <w:t>培育引进高能级进口主体。推动本土渠道型、供应链管理型龙头贸易企业向农产品、消费品等进口领域拓展业务。支持国际知名消费品、轻奢品总部企业、品牌企业及供应链服务企业在深圳设立区域总部、功能性总部、独立法人机构。</w:t>
      </w:r>
      <w:r>
        <w:rPr>
          <w:rFonts w:hint="default" w:ascii="仿宋_GB2312" w:hAnsi="仿宋_GB2312" w:eastAsia="仿宋_GB2312" w:cs="仿宋_GB2312"/>
          <w:b/>
          <w:bCs/>
          <w:sz w:val="32"/>
          <w:szCs w:val="32"/>
          <w:lang w:eastAsia="zh-CN"/>
        </w:rPr>
        <w:t>二是</w:t>
      </w:r>
      <w:r>
        <w:rPr>
          <w:rFonts w:hint="default" w:ascii="仿宋_GB2312" w:hAnsi="仿宋_GB2312" w:eastAsia="仿宋_GB2312" w:cs="仿宋_GB2312"/>
          <w:sz w:val="32"/>
          <w:szCs w:val="32"/>
          <w:lang w:eastAsia="zh-CN"/>
        </w:rPr>
        <w:t>增强进口平台支撑。加快前海蛇口自贸片区、福田区进口贸易促进创新示范区建设，推动提升片区进口辐射带动力。大力组织境内大豆产业链供应链相关市场主体通过前海联合交易中心开展大豆进口业务。</w:t>
      </w:r>
      <w:r>
        <w:rPr>
          <w:rFonts w:hint="default" w:ascii="仿宋_GB2312" w:hAnsi="仿宋_GB2312" w:eastAsia="仿宋_GB2312" w:cs="仿宋_GB2312"/>
          <w:b/>
          <w:bCs/>
          <w:sz w:val="32"/>
          <w:szCs w:val="32"/>
          <w:lang w:eastAsia="zh-CN"/>
        </w:rPr>
        <w:t>三是</w:t>
      </w:r>
      <w:r>
        <w:rPr>
          <w:rFonts w:hint="default" w:ascii="仿宋_GB2312" w:hAnsi="仿宋_GB2312" w:eastAsia="仿宋_GB2312" w:cs="仿宋_GB2312"/>
          <w:sz w:val="32"/>
          <w:szCs w:val="32"/>
          <w:lang w:eastAsia="zh-CN"/>
        </w:rPr>
        <w:t>通过优化口岸通关监管环境、建设冷链进口高品质物流体系、支持进口冷链产业集聚发展、创新拓展农产品营销模式等措施，着力完善深圳湾、莲塘等陆路口岸以及港区内外海关冷链查验设施，推进高标准冷库设施和配套冷链集中查验场建设，压缩进口冷链货物等候海关查验时间，支持国内外冷链企业在深建设综合型冷链供应链平台。</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专此答复。诚挚感谢您的宝贵建议。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91" w:firstLineChars="216"/>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深圳市商务局</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2025年8月</w:t>
      </w:r>
      <w:r>
        <w:rPr>
          <w:rFonts w:hint="default"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rPr>
      </w:pPr>
      <w:bookmarkStart w:id="0" w:name="_GoBack"/>
      <w:bookmarkEnd w:id="0"/>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07FBCF57"/>
    <w:rsid w:val="0B6EDA9E"/>
    <w:rsid w:val="15DF23FB"/>
    <w:rsid w:val="177652B9"/>
    <w:rsid w:val="17BC60FC"/>
    <w:rsid w:val="1EDF01C9"/>
    <w:rsid w:val="1FE77E52"/>
    <w:rsid w:val="2D7FD4DE"/>
    <w:rsid w:val="31F6F62B"/>
    <w:rsid w:val="33BEC123"/>
    <w:rsid w:val="35FFAFBD"/>
    <w:rsid w:val="37FFEDA3"/>
    <w:rsid w:val="3F3F943F"/>
    <w:rsid w:val="3FD2ECBD"/>
    <w:rsid w:val="41FF2475"/>
    <w:rsid w:val="4A1947CF"/>
    <w:rsid w:val="5E4D358A"/>
    <w:rsid w:val="5FBF6E40"/>
    <w:rsid w:val="5FBFAE5B"/>
    <w:rsid w:val="5FBFE57C"/>
    <w:rsid w:val="5FD75502"/>
    <w:rsid w:val="5FEFF539"/>
    <w:rsid w:val="5FFA387F"/>
    <w:rsid w:val="67FC4B84"/>
    <w:rsid w:val="6ECF0EA2"/>
    <w:rsid w:val="6EEFB02E"/>
    <w:rsid w:val="6FF3068E"/>
    <w:rsid w:val="75D730DB"/>
    <w:rsid w:val="76759A8B"/>
    <w:rsid w:val="7BD778EA"/>
    <w:rsid w:val="7BFD4C09"/>
    <w:rsid w:val="7BFEE0E4"/>
    <w:rsid w:val="7D5911A0"/>
    <w:rsid w:val="7DF7EBD2"/>
    <w:rsid w:val="7FAEEC79"/>
    <w:rsid w:val="8F6F0075"/>
    <w:rsid w:val="9F774319"/>
    <w:rsid w:val="ABBF08AA"/>
    <w:rsid w:val="ADAB0A29"/>
    <w:rsid w:val="B29BA4DC"/>
    <w:rsid w:val="BF7EB0CB"/>
    <w:rsid w:val="BFFE320E"/>
    <w:rsid w:val="D376E006"/>
    <w:rsid w:val="D7CC492F"/>
    <w:rsid w:val="D7EE9C4A"/>
    <w:rsid w:val="DBAF154B"/>
    <w:rsid w:val="DD776812"/>
    <w:rsid w:val="DD7D893E"/>
    <w:rsid w:val="E5FB2C97"/>
    <w:rsid w:val="E7BEAD68"/>
    <w:rsid w:val="EBBA0A9C"/>
    <w:rsid w:val="ED5C789E"/>
    <w:rsid w:val="EED958D4"/>
    <w:rsid w:val="EF97B05D"/>
    <w:rsid w:val="EF9F3680"/>
    <w:rsid w:val="EFDF01C8"/>
    <w:rsid w:val="EFE51C35"/>
    <w:rsid w:val="F6F8FF19"/>
    <w:rsid w:val="F73F2242"/>
    <w:rsid w:val="F7EFAE25"/>
    <w:rsid w:val="FD5FEB3A"/>
    <w:rsid w:val="FDF270B0"/>
    <w:rsid w:val="FED5EBD5"/>
    <w:rsid w:val="FEFBF4AD"/>
    <w:rsid w:val="FF0F9C37"/>
    <w:rsid w:val="FFAFC27C"/>
    <w:rsid w:val="FFBBEE75"/>
    <w:rsid w:val="FFDF2A06"/>
    <w:rsid w:val="FFDFE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2022-08-09T09:03:00Z</dcterms:created>
  <dc:creator>禾禾</dc:creator>
  <cp:lastModifiedBy>文件收发（黄俊源）</cp:lastModifiedBy>
  <cp:lastPrinted>2022-08-12T03:42:00Z</cp:lastPrinted>
  <dcterms:modified xsi:type="dcterms:W3CDTF">2025-11-04T16:17:50Z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BAD19CCFB89D35A8BFF29B68ACD65B64</vt:lpwstr>
  </property>
</Properties>
</file>