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深圳市商务局关于对市政协七届</w:t>
      </w:r>
      <w:r>
        <w:rPr>
          <w:rFonts w:hint="default" w:ascii="方正小标宋_GBK" w:hAnsi="方正小标宋_GBK" w:eastAsia="方正小标宋_GBK" w:cs="方正小标宋_GBK"/>
          <w:color w:val="auto"/>
          <w:sz w:val="44"/>
          <w:szCs w:val="44"/>
          <w:lang w:val="en-US"/>
        </w:rPr>
        <w:t>五</w:t>
      </w:r>
      <w:r>
        <w:rPr>
          <w:rFonts w:hint="eastAsia" w:ascii="方正小标宋_GBK" w:hAnsi="方正小标宋_GBK" w:eastAsia="方正小标宋_GBK" w:cs="方正小标宋_GBK"/>
          <w:color w:val="auto"/>
          <w:sz w:val="44"/>
          <w:szCs w:val="44"/>
        </w:rPr>
        <w:t>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第202</w:t>
      </w:r>
      <w:r>
        <w:rPr>
          <w:rFonts w:hint="default" w:ascii="方正小标宋_GBK" w:hAnsi="方正小标宋_GBK" w:eastAsia="方正小标宋_GBK" w:cs="方正小标宋_GBK"/>
          <w:color w:val="auto"/>
          <w:sz w:val="44"/>
          <w:szCs w:val="44"/>
          <w:lang w:val="en-US"/>
        </w:rPr>
        <w:t>50456</w:t>
      </w:r>
      <w:r>
        <w:rPr>
          <w:rFonts w:hint="eastAsia" w:ascii="方正小标宋_GBK" w:hAnsi="方正小标宋_GBK" w:eastAsia="方正小标宋_GBK" w:cs="方正小标宋_GBK"/>
          <w:color w:val="auto"/>
          <w:sz w:val="44"/>
          <w:szCs w:val="44"/>
        </w:rPr>
        <w:t>号建议答复意见的函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尊敬的</w:t>
      </w:r>
      <w:r>
        <w:rPr>
          <w:rFonts w:hint="default" w:ascii="仿宋_GB2312" w:hAnsi="仿宋_GB2312" w:eastAsia="仿宋_GB2312" w:cs="仿宋_GB2312"/>
          <w:color w:val="auto"/>
          <w:sz w:val="32"/>
          <w:szCs w:val="32"/>
          <w:lang w:val="en-US"/>
        </w:rPr>
        <w:t>李振</w:t>
      </w:r>
      <w:r>
        <w:rPr>
          <w:rFonts w:hint="eastAsia" w:ascii="仿宋_GB2312" w:hAnsi="仿宋_GB2312" w:eastAsia="仿宋_GB2312" w:cs="仿宋_GB2312"/>
          <w:color w:val="auto"/>
          <w:sz w:val="32"/>
          <w:szCs w:val="32"/>
        </w:rPr>
        <w:t>代表：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您在市政协七届</w:t>
      </w:r>
      <w:r>
        <w:rPr>
          <w:rFonts w:hint="default" w:ascii="仿宋_GB2312" w:hAnsi="仿宋_GB2312" w:eastAsia="仿宋_GB2312" w:cs="仿宋_GB2312"/>
          <w:color w:val="auto"/>
          <w:sz w:val="32"/>
          <w:szCs w:val="32"/>
          <w:lang w:val="en-US"/>
        </w:rPr>
        <w:t>五</w:t>
      </w:r>
      <w:r>
        <w:rPr>
          <w:rFonts w:hint="eastAsia" w:ascii="仿宋_GB2312" w:hAnsi="仿宋_GB2312" w:eastAsia="仿宋_GB2312" w:cs="仿宋_GB2312"/>
          <w:color w:val="auto"/>
          <w:sz w:val="32"/>
          <w:szCs w:val="32"/>
        </w:rPr>
        <w:t>次会议上提出的第202</w:t>
      </w:r>
      <w:r>
        <w:rPr>
          <w:rFonts w:hint="default" w:ascii="仿宋_GB2312" w:hAnsi="仿宋_GB2312" w:eastAsia="仿宋_GB2312" w:cs="仿宋_GB2312"/>
          <w:color w:val="auto"/>
          <w:sz w:val="32"/>
          <w:szCs w:val="32"/>
          <w:lang w:val="en-US"/>
        </w:rPr>
        <w:t>50456</w:t>
      </w:r>
      <w:r>
        <w:rPr>
          <w:rFonts w:hint="eastAsia" w:ascii="仿宋_GB2312" w:hAnsi="仿宋_GB2312" w:eastAsia="仿宋_GB2312" w:cs="仿宋_GB2312"/>
          <w:color w:val="auto"/>
          <w:sz w:val="32"/>
          <w:szCs w:val="32"/>
        </w:rPr>
        <w:t>号建议《</w:t>
      </w:r>
      <w:r>
        <w:rPr>
          <w:rFonts w:hint="default" w:ascii="仿宋_GB2312" w:hAnsi="仿宋_GB2312" w:eastAsia="仿宋_GB2312" w:cs="仿宋_GB2312"/>
          <w:color w:val="auto"/>
          <w:sz w:val="32"/>
          <w:szCs w:val="32"/>
          <w:lang w:val="en-US" w:eastAsia="zh-CN"/>
        </w:rPr>
        <w:t>关于促进港人来深消费的建议</w:t>
      </w:r>
      <w:r>
        <w:rPr>
          <w:rFonts w:hint="eastAsia" w:ascii="仿宋_GB2312" w:hAnsi="仿宋_GB2312" w:eastAsia="仿宋_GB2312" w:cs="仿宋_GB2312"/>
          <w:color w:val="auto"/>
          <w:sz w:val="32"/>
          <w:szCs w:val="32"/>
        </w:rPr>
        <w:t>》收悉。非常感谢您对</w:t>
      </w:r>
      <w:r>
        <w:rPr>
          <w:rFonts w:hint="default" w:ascii="仿宋_GB2312" w:hAnsi="仿宋_GB2312" w:eastAsia="仿宋_GB2312" w:cs="仿宋_GB2312"/>
          <w:color w:val="auto"/>
          <w:sz w:val="32"/>
          <w:szCs w:val="32"/>
          <w:lang w:val="en-US"/>
        </w:rPr>
        <w:t>我市进一步加强针对深港消费互动的服务工作，</w:t>
      </w:r>
      <w:r>
        <w:rPr>
          <w:rFonts w:hint="eastAsia" w:ascii="仿宋_GB2312" w:hAnsi="仿宋_GB2312" w:eastAsia="仿宋_GB2312" w:cs="仿宋_GB2312"/>
          <w:color w:val="auto"/>
          <w:sz w:val="32"/>
          <w:szCs w:val="32"/>
        </w:rPr>
        <w:t>推动</w:t>
      </w:r>
      <w:r>
        <w:rPr>
          <w:rFonts w:hint="default" w:ascii="仿宋_GB2312" w:hAnsi="仿宋_GB2312" w:eastAsia="仿宋_GB2312" w:cs="仿宋_GB2312"/>
          <w:color w:val="auto"/>
          <w:sz w:val="32"/>
          <w:szCs w:val="32"/>
          <w:lang w:val="en-US"/>
        </w:rPr>
        <w:t>粤港澳大湾区融合与消费促进</w:t>
      </w:r>
      <w:r>
        <w:rPr>
          <w:rFonts w:hint="eastAsia" w:ascii="仿宋_GB2312" w:hAnsi="仿宋_GB2312" w:eastAsia="仿宋_GB2312" w:cs="仿宋_GB2312"/>
          <w:color w:val="auto"/>
          <w:sz w:val="32"/>
          <w:szCs w:val="32"/>
          <w:lang w:val="en-US" w:eastAsia="zh-CN"/>
        </w:rPr>
        <w:t>工作</w:t>
      </w:r>
      <w:r>
        <w:rPr>
          <w:rFonts w:hint="eastAsia" w:ascii="仿宋_GB2312" w:hAnsi="仿宋_GB2312" w:eastAsia="仿宋_GB2312" w:cs="仿宋_GB2312"/>
          <w:color w:val="auto"/>
          <w:sz w:val="32"/>
          <w:szCs w:val="32"/>
        </w:rPr>
        <w:t>的关心与支持。经认真研究，现答复如下：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rPr>
      </w:pPr>
      <w:r>
        <w:rPr>
          <w:rFonts w:hint="eastAsia" w:ascii="黑体-GB2312" w:hAnsi="黑体-GB2312" w:eastAsia="黑体-GB2312" w:cs="黑体-GB2312"/>
          <w:color w:val="auto"/>
          <w:sz w:val="32"/>
          <w:szCs w:val="32"/>
        </w:rPr>
        <w:t>一、关于“推动跨境便捷支付”的建议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（一）推进深港“一卡通”发行工作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方便深港两地公共交通出行，在深圳市交通运输局的指导下，深圳市深圳通有限公司与支付宝、AlipayHK等公司合作升级深港交通支付互认功能，深圳通也正式上线“一码通深港”业务。自2023年6月1日起，使用深圳通、AlipayHK（港版支付宝）、支付宝中的任意一个APP，即可在深港两地扫码乘坐所有的公交和地铁线路（除香港机场快线）。自“深港互通行卡”上线以来，已发行3万余张，可在全国336个城市和香港地铁、巴士等全线路使用，极大便利往返深港两地的市民和游客，节省购票时间，有助于加强深港两地的交通联系及促进两地人员往来、文化交流和经济合作。此外，持该卡还能在带有“八达通”标识的场所消费，满足用户小额消费需求的同时，还可分别享受两地的优惠政策。首发“可碰、可扫”的数币可视硬钱包，实现与主流外卡、香港“八达通”互联互通，并率先落地数字人民币APP“碰一碰”硬钱包收款功能。</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持续优化支付化服务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textAlignment w:val="auto"/>
        <w:rPr>
          <w:rFonts w:hint="eastAsia" w:ascii="仿宋_GB2312" w:hAnsi="仿宋" w:eastAsia="仿宋_GB2312" w:cs="Times New Roman"/>
          <w:color w:val="auto"/>
          <w:sz w:val="32"/>
          <w:szCs w:val="32"/>
          <w:lang w:val="en-US" w:eastAsia="zh-CN"/>
        </w:rPr>
      </w:pPr>
      <w:r>
        <w:rPr>
          <w:rFonts w:hint="eastAsia" w:ascii="仿宋_GB2312" w:hAnsi="仿宋_GB2312" w:eastAsia="仿宋_GB2312" w:cs="仿宋_GB2312"/>
          <w:b/>
          <w:bCs/>
          <w:color w:val="auto"/>
          <w:sz w:val="32"/>
          <w:szCs w:val="32"/>
        </w:rPr>
        <w:t>一是</w:t>
      </w:r>
      <w:r>
        <w:rPr>
          <w:rFonts w:hint="eastAsia" w:ascii="仿宋_GB2312" w:hAnsi="仿宋" w:eastAsia="仿宋_GB2312" w:cs="Times New Roman"/>
          <w:color w:val="auto"/>
          <w:sz w:val="32"/>
          <w:szCs w:val="32"/>
          <w:lang w:val="en-US" w:eastAsia="zh-CN"/>
        </w:rPr>
        <w:t>深圳积极</w:t>
      </w:r>
      <w:r>
        <w:rPr>
          <w:rFonts w:hint="eastAsia" w:ascii="仿宋_GB2312" w:hAnsi="仿宋" w:eastAsia="仿宋_GB2312" w:cs="Times New Roman"/>
          <w:color w:val="auto"/>
          <w:sz w:val="32"/>
          <w:szCs w:val="32"/>
        </w:rPr>
        <w:t>按照“大额刷卡、小额扫码、现金兜底”的3大工作重点，围绕“数字人民币支付、银行特色主题、国际卡刷卡支付特色主题、移动支付特色主题、商圈支付特色主题、文旅免税特色主题”6大特色支付主题，</w:t>
      </w:r>
      <w:r>
        <w:rPr>
          <w:rFonts w:hint="eastAsia" w:ascii="仿宋_GB2312" w:hAnsi="仿宋" w:eastAsia="仿宋_GB2312" w:cs="Times New Roman"/>
          <w:color w:val="auto"/>
          <w:sz w:val="32"/>
          <w:szCs w:val="32"/>
          <w:lang w:val="en-US" w:eastAsia="zh-CN"/>
        </w:rPr>
        <w:t>推进支付环境优化工作。</w:t>
      </w:r>
      <w:r>
        <w:rPr>
          <w:rFonts w:hint="eastAsia" w:ascii="仿宋_GB2312" w:hAnsi="仿宋" w:eastAsia="仿宋_GB2312" w:cs="Times New Roman"/>
          <w:color w:val="auto"/>
          <w:sz w:val="32"/>
          <w:szCs w:val="32"/>
        </w:rPr>
        <w:t>聚焦机场、口岸境外来深人员“第一站”和购物消费、酒店住宿、交通工具、旅游景点等在深消费“四条线”重点区域，</w:t>
      </w:r>
      <w:r>
        <w:rPr>
          <w:rFonts w:hint="eastAsia" w:ascii="仿宋_GB2312" w:hAnsi="仿宋_GB2312" w:eastAsia="仿宋_GB2312" w:cs="仿宋_GB2312"/>
          <w:i w:val="0"/>
          <w:iCs w:val="0"/>
          <w:caps w:val="0"/>
          <w:color w:val="auto"/>
          <w:spacing w:val="0"/>
          <w:sz w:val="32"/>
          <w:szCs w:val="32"/>
          <w:shd w:val="clear" w:color="auto" w:fill="auto"/>
        </w:rPr>
        <w:t>以机场和口岸为第一站</w:t>
      </w:r>
      <w:r>
        <w:rPr>
          <w:rFonts w:hint="eastAsia" w:ascii="仿宋_GB2312" w:hAnsi="仿宋_GB2312" w:eastAsia="仿宋_GB2312" w:cs="仿宋_GB2312"/>
          <w:i w:val="0"/>
          <w:iCs w:val="0"/>
          <w:caps w:val="0"/>
          <w:color w:val="auto"/>
          <w:spacing w:val="0"/>
          <w:sz w:val="32"/>
          <w:szCs w:val="32"/>
          <w:shd w:val="clear" w:color="auto" w:fill="auto"/>
          <w:lang w:eastAsia="zh-CN"/>
        </w:rPr>
        <w:t>，</w:t>
      </w:r>
      <w:r>
        <w:rPr>
          <w:rFonts w:hint="eastAsia" w:ascii="仿宋_GB2312" w:hAnsi="仿宋_GB2312" w:eastAsia="仿宋_GB2312" w:cs="仿宋_GB2312"/>
          <w:i w:val="0"/>
          <w:iCs w:val="0"/>
          <w:caps w:val="0"/>
          <w:color w:val="auto"/>
          <w:spacing w:val="0"/>
          <w:sz w:val="32"/>
          <w:szCs w:val="32"/>
          <w:shd w:val="clear" w:color="auto" w:fill="auto"/>
        </w:rPr>
        <w:t>率先“打造深圳全域支付示范区”，辐射购物消费、酒店住宿、交通工具和旅游景点</w:t>
      </w:r>
      <w:r>
        <w:rPr>
          <w:rFonts w:hint="eastAsia" w:ascii="仿宋_GB2312" w:hAnsi="仿宋_GB2312" w:eastAsia="仿宋_GB2312" w:cs="仿宋_GB2312"/>
          <w:i w:val="0"/>
          <w:iCs w:val="0"/>
          <w:caps w:val="0"/>
          <w:color w:val="auto"/>
          <w:spacing w:val="0"/>
          <w:sz w:val="32"/>
          <w:szCs w:val="32"/>
          <w:shd w:val="clear" w:color="auto" w:fill="auto"/>
          <w:lang w:eastAsia="zh-CN"/>
        </w:rPr>
        <w:t>，</w:t>
      </w:r>
      <w:r>
        <w:rPr>
          <w:rFonts w:hint="eastAsia" w:ascii="仿宋_GB2312" w:hAnsi="仿宋_GB2312" w:eastAsia="仿宋_GB2312" w:cs="仿宋_GB2312"/>
          <w:i w:val="0"/>
          <w:iCs w:val="0"/>
          <w:caps w:val="0"/>
          <w:color w:val="auto"/>
          <w:spacing w:val="0"/>
          <w:sz w:val="32"/>
          <w:szCs w:val="32"/>
          <w:shd w:val="clear" w:color="auto" w:fill="auto"/>
          <w:lang w:val="en-US" w:eastAsia="zh-CN"/>
        </w:rPr>
        <w:t>做好相应服务</w:t>
      </w:r>
      <w:r>
        <w:rPr>
          <w:rFonts w:hint="eastAsia" w:ascii="仿宋_GB2312" w:hAnsi="仿宋_GB2312" w:eastAsia="仿宋_GB2312" w:cs="仿宋_GB2312"/>
          <w:i w:val="0"/>
          <w:iCs w:val="0"/>
          <w:caps w:val="0"/>
          <w:color w:val="auto"/>
          <w:spacing w:val="0"/>
          <w:sz w:val="32"/>
          <w:szCs w:val="32"/>
          <w:shd w:val="clear" w:color="auto" w:fill="auto"/>
        </w:rPr>
        <w:t>。</w:t>
      </w:r>
      <w:r>
        <w:rPr>
          <w:rFonts w:hint="eastAsia" w:ascii="仿宋_GB2312" w:hAnsi="仿宋_GB2312" w:eastAsia="仿宋_GB2312" w:cs="仿宋_GB2312"/>
          <w:i w:val="0"/>
          <w:iCs w:val="0"/>
          <w:caps w:val="0"/>
          <w:color w:val="auto"/>
          <w:spacing w:val="0"/>
          <w:sz w:val="32"/>
          <w:szCs w:val="32"/>
          <w:shd w:val="clear" w:color="auto" w:fill="auto"/>
          <w:lang w:val="en-US" w:eastAsia="zh-CN"/>
        </w:rPr>
        <w:t>截至目前，</w:t>
      </w:r>
      <w:r>
        <w:rPr>
          <w:rFonts w:hint="eastAsia" w:ascii="仿宋_GB2312" w:hAnsi="仿宋_GB2312" w:eastAsia="仿宋_GB2312" w:cs="仿宋_GB2312"/>
          <w:i w:val="0"/>
          <w:iCs w:val="0"/>
          <w:caps w:val="0"/>
          <w:color w:val="auto"/>
          <w:spacing w:val="0"/>
          <w:sz w:val="32"/>
          <w:szCs w:val="32"/>
          <w:shd w:val="clear" w:color="auto" w:fill="auto"/>
        </w:rPr>
        <w:t>深圳机场商圈已实现外卡受理、移动支付、现金支付、数字人民币等支付方式全覆盖，其中外卡受理覆盖率已经超过90%，数字人民币受理覆盖率超80%，5家货币兑换点覆盖国际、国内出发和到达各个区域，新引进8台可外卡取现的ATM机和3台数字人民币硬钱包终端设备</w:t>
      </w:r>
      <w:r>
        <w:rPr>
          <w:rFonts w:hint="eastAsia" w:ascii="仿宋_GB2312" w:hAnsi="仿宋_GB2312" w:eastAsia="仿宋_GB2312" w:cs="仿宋_GB2312"/>
          <w:i w:val="0"/>
          <w:iCs w:val="0"/>
          <w:caps w:val="0"/>
          <w:color w:val="auto"/>
          <w:spacing w:val="0"/>
          <w:sz w:val="32"/>
          <w:szCs w:val="32"/>
          <w:shd w:val="clear" w:color="auto" w:fill="auto"/>
          <w:lang w:eastAsia="zh-CN"/>
        </w:rPr>
        <w:t>。</w:t>
      </w:r>
      <w:r>
        <w:rPr>
          <w:rFonts w:hint="eastAsia" w:ascii="仿宋_GB2312" w:hAnsi="仿宋" w:eastAsia="仿宋_GB2312" w:cs="Times New Roman"/>
          <w:color w:val="auto"/>
          <w:sz w:val="32"/>
          <w:szCs w:val="32"/>
          <w:lang w:val="en-US" w:eastAsia="zh-CN"/>
        </w:rPr>
        <w:t>全市共37家兑换特许机构、超9成银行网点可受理外币兑换。</w:t>
      </w:r>
      <w:r>
        <w:rPr>
          <w:rFonts w:hint="eastAsia" w:ascii="仿宋_GB2312" w:hAnsi="仿宋_GB2312" w:eastAsia="仿宋_GB2312" w:cs="仿宋_GB2312"/>
          <w:b/>
          <w:bCs/>
          <w:i w:val="0"/>
          <w:iCs w:val="0"/>
          <w:caps w:val="0"/>
          <w:color w:val="auto"/>
          <w:spacing w:val="0"/>
          <w:sz w:val="32"/>
          <w:szCs w:val="32"/>
          <w:shd w:val="clear" w:color="auto" w:fill="auto"/>
          <w:lang w:val="en-US" w:eastAsia="zh-CN"/>
        </w:rPr>
        <w:t>二是</w:t>
      </w:r>
      <w:r>
        <w:rPr>
          <w:rFonts w:hint="eastAsia" w:ascii="仿宋_GB2312" w:hAnsi="仿宋" w:eastAsia="仿宋_GB2312" w:cs="Times New Roman"/>
          <w:b w:val="0"/>
          <w:bCs w:val="0"/>
          <w:color w:val="auto"/>
          <w:sz w:val="32"/>
          <w:szCs w:val="32"/>
          <w:lang w:val="en-US" w:eastAsia="zh-CN"/>
        </w:rPr>
        <w:t>深圳积极组织开展“国际支付季”“深圳购物季”“跨年新春消费季”“新型消费季”“黄金内湾消费季”等</w:t>
      </w:r>
      <w:r>
        <w:rPr>
          <w:rFonts w:hint="eastAsia" w:ascii="仿宋_GB2312" w:hAnsi="仿宋" w:eastAsia="仿宋_GB2312" w:cs="Times New Roman"/>
          <w:color w:val="auto"/>
          <w:sz w:val="32"/>
          <w:szCs w:val="32"/>
          <w:lang w:val="en-US" w:eastAsia="zh-CN"/>
        </w:rPr>
        <w:t>国际消费主题促消费活动，</w:t>
      </w:r>
      <w:r>
        <w:rPr>
          <w:rFonts w:hint="eastAsia" w:ascii="仿宋_GB2312" w:hAnsi="仿宋" w:eastAsia="仿宋_GB2312" w:cs="Times New Roman"/>
          <w:color w:val="auto"/>
          <w:sz w:val="32"/>
          <w:szCs w:val="32"/>
        </w:rPr>
        <w:t>组织各收单银行、支付机构、国际卡组织、商圈及企业等单位参与，</w:t>
      </w:r>
      <w:r>
        <w:rPr>
          <w:rFonts w:hint="eastAsia" w:ascii="仿宋_GB2312" w:hAnsi="仿宋" w:eastAsia="仿宋_GB2312" w:cs="Times New Roman"/>
          <w:color w:val="auto"/>
          <w:sz w:val="32"/>
          <w:szCs w:val="32"/>
          <w:lang w:val="en-US" w:eastAsia="zh-CN"/>
        </w:rPr>
        <w:t>2023年至2025年共组织开展</w:t>
      </w:r>
      <w:r>
        <w:rPr>
          <w:rFonts w:hint="eastAsia" w:ascii="仿宋_GB2312" w:hAnsi="仿宋" w:eastAsia="仿宋_GB2312" w:cs="Times New Roman"/>
          <w:color w:val="auto"/>
          <w:sz w:val="32"/>
          <w:szCs w:val="32"/>
          <w:lang w:eastAsia="zh-CN"/>
        </w:rPr>
        <w:t>了</w:t>
      </w:r>
      <w:r>
        <w:rPr>
          <w:rFonts w:hint="eastAsia" w:ascii="仿宋_GB2312" w:hAnsi="仿宋" w:eastAsia="仿宋_GB2312" w:cs="Times New Roman"/>
          <w:color w:val="auto"/>
          <w:sz w:val="32"/>
          <w:szCs w:val="32"/>
        </w:rPr>
        <w:t>超</w:t>
      </w:r>
      <w:r>
        <w:rPr>
          <w:rFonts w:hint="eastAsia" w:ascii="仿宋_GB2312" w:hAnsi="仿宋" w:eastAsia="仿宋_GB2312" w:cs="Times New Roman"/>
          <w:color w:val="auto"/>
          <w:sz w:val="32"/>
          <w:szCs w:val="32"/>
          <w:lang w:val="en-US" w:eastAsia="zh-CN"/>
        </w:rPr>
        <w:t>2000</w:t>
      </w:r>
      <w:r>
        <w:rPr>
          <w:rFonts w:hint="eastAsia" w:ascii="仿宋_GB2312" w:hAnsi="仿宋" w:eastAsia="仿宋_GB2312" w:cs="Times New Roman"/>
          <w:color w:val="auto"/>
          <w:sz w:val="32"/>
          <w:szCs w:val="32"/>
        </w:rPr>
        <w:t>场</w:t>
      </w:r>
      <w:r>
        <w:rPr>
          <w:rFonts w:hint="eastAsia" w:ascii="仿宋_GB2312" w:hAnsi="仿宋" w:eastAsia="仿宋_GB2312" w:cs="Times New Roman"/>
          <w:color w:val="auto"/>
          <w:sz w:val="32"/>
          <w:szCs w:val="32"/>
          <w:lang w:val="en-US" w:eastAsia="zh-CN"/>
        </w:rPr>
        <w:t>国际消费友好</w:t>
      </w:r>
      <w:r>
        <w:rPr>
          <w:rFonts w:hint="eastAsia" w:ascii="仿宋_GB2312" w:hAnsi="仿宋" w:eastAsia="仿宋_GB2312" w:cs="Times New Roman"/>
          <w:color w:val="auto"/>
          <w:sz w:val="32"/>
          <w:szCs w:val="32"/>
        </w:rPr>
        <w:t>促</w:t>
      </w:r>
      <w:r>
        <w:rPr>
          <w:rFonts w:hint="eastAsia" w:ascii="仿宋_GB2312" w:hAnsi="仿宋" w:eastAsia="仿宋_GB2312" w:cs="Times New Roman"/>
          <w:color w:val="auto"/>
          <w:sz w:val="32"/>
          <w:szCs w:val="32"/>
          <w:lang w:val="en-US" w:eastAsia="zh-CN"/>
        </w:rPr>
        <w:t>进</w:t>
      </w:r>
      <w:r>
        <w:rPr>
          <w:rFonts w:hint="eastAsia" w:ascii="仿宋_GB2312" w:hAnsi="仿宋" w:eastAsia="仿宋_GB2312" w:cs="Times New Roman"/>
          <w:color w:val="auto"/>
          <w:sz w:val="32"/>
          <w:szCs w:val="32"/>
        </w:rPr>
        <w:t>活动，</w:t>
      </w:r>
      <w:r>
        <w:rPr>
          <w:rFonts w:hint="eastAsia" w:ascii="仿宋_GB2312" w:hAnsi="仿宋_GB2312" w:eastAsia="仿宋_GB2312" w:cs="仿宋_GB2312"/>
          <w:color w:val="auto"/>
          <w:sz w:val="32"/>
          <w:szCs w:val="32"/>
        </w:rPr>
        <w:t>发布微信支付优化跨境体验、现金零钱包标准化、数字人民币硬钱包创新及便利支付示范商圈建设等四项便民支付成果。</w:t>
      </w:r>
      <w:r>
        <w:rPr>
          <w:rFonts w:hint="eastAsia" w:ascii="仿宋_GB2312" w:hAnsi="仿宋" w:eastAsia="仿宋_GB2312" w:cs="Times New Roman"/>
          <w:color w:val="auto"/>
          <w:sz w:val="32"/>
          <w:szCs w:val="32"/>
        </w:rPr>
        <w:t>通过推出优惠活动、完善支付受理环境，全方位满足老年人、境外人士来深的消费支付需求。</w:t>
      </w:r>
      <w:r>
        <w:rPr>
          <w:rFonts w:hint="eastAsia" w:ascii="仿宋_GB2312" w:hAnsi="仿宋" w:eastAsia="仿宋_GB2312" w:cs="Times New Roman"/>
          <w:b/>
          <w:bCs/>
          <w:color w:val="auto"/>
          <w:sz w:val="32"/>
          <w:szCs w:val="32"/>
          <w:lang w:val="en-US" w:eastAsia="zh-CN"/>
        </w:rPr>
        <w:t>三是</w:t>
      </w:r>
      <w:r>
        <w:rPr>
          <w:rFonts w:hint="eastAsia" w:ascii="仿宋_GB2312" w:hAnsi="仿宋" w:eastAsia="仿宋_GB2312" w:cs="Times New Roman"/>
          <w:b w:val="0"/>
          <w:bCs w:val="0"/>
          <w:color w:val="auto"/>
          <w:sz w:val="32"/>
          <w:szCs w:val="32"/>
          <w:lang w:val="en-US" w:eastAsia="zh-CN"/>
        </w:rPr>
        <w:t>做好支付消费宣传工作。在</w:t>
      </w:r>
      <w:r>
        <w:rPr>
          <w:rFonts w:hint="eastAsia" w:ascii="仿宋_GB2312" w:hAnsi="仿宋" w:eastAsia="仿宋_GB2312" w:cs="Times New Roman"/>
          <w:color w:val="auto"/>
          <w:sz w:val="32"/>
          <w:szCs w:val="32"/>
          <w:lang w:val="en-US" w:eastAsia="zh-CN"/>
        </w:rPr>
        <w:t>口岸及各类交通枢纽区位投放各类型消费宣传短片，完成播放574200余次；印发繁体版《境外来深支付指南》《离境退税指南》，在口岸及商圈免费发放，覆盖支付、退税全流等宣传资料2.3万册。推出《境外来深100种玩法》《“歪果仁”来深指南》等文旅手册，结合演唱会、低空经济等新业态丰富体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二、关于“为港人消费提供便利”的建议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（一）积极</w:t>
      </w:r>
      <w:r>
        <w:rPr>
          <w:rFonts w:hint="default" w:ascii="楷体_GB2312" w:hAnsi="楷体_GB2312" w:eastAsia="楷体_GB2312" w:cs="楷体_GB2312"/>
          <w:b w:val="0"/>
          <w:bCs w:val="0"/>
          <w:color w:val="auto"/>
          <w:kern w:val="2"/>
          <w:sz w:val="32"/>
          <w:szCs w:val="32"/>
          <w:lang w:val="en-US" w:eastAsia="zh-CN" w:bidi="ar-SA"/>
        </w:rPr>
        <w:t>组织开展</w:t>
      </w:r>
      <w:r>
        <w:rPr>
          <w:rFonts w:hint="eastAsia" w:ascii="楷体_GB2312" w:hAnsi="楷体_GB2312" w:eastAsia="楷体_GB2312" w:cs="楷体_GB2312"/>
          <w:b w:val="0"/>
          <w:bCs w:val="0"/>
          <w:color w:val="auto"/>
          <w:kern w:val="2"/>
          <w:sz w:val="32"/>
          <w:szCs w:val="32"/>
          <w:lang w:val="en-US" w:eastAsia="zh-CN" w:bidi="ar-SA"/>
        </w:rPr>
        <w:t>来深消费</w:t>
      </w:r>
      <w:r>
        <w:rPr>
          <w:rFonts w:hint="default" w:ascii="楷体_GB2312" w:hAnsi="楷体_GB2312" w:eastAsia="楷体_GB2312" w:cs="楷体_GB2312"/>
          <w:b w:val="0"/>
          <w:bCs w:val="0"/>
          <w:color w:val="auto"/>
          <w:kern w:val="2"/>
          <w:sz w:val="32"/>
          <w:szCs w:val="32"/>
          <w:lang w:val="en-US" w:eastAsia="zh-CN" w:bidi="ar-SA"/>
        </w:rPr>
        <w:t>便利活动，营造良好消费氛围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提供港人友好服务。深圳福田、罗湖、深圳湾三大口岸均开设了免费接驳巴士，覆盖山姆会员店、万象城、C0C0Park、壹方城等热门商场。全面梳理口岸内外影响通关的堵点难点，持续开展口岸内外环境综合整治，先后制定出台《深圳口岸提升美誉度专项行动方案》《持续提升口岸通关体验、推动深港要素加速流通工作方案》，围绕优化调整交通秩序、改造提升设施设备、整合完善配套设施、改进顺畅通关动线、优化通关政策和查验方式等方面工作持续发力，总体口岸通关环境已得到显著提升。对于“免费接驳线路”和“指引标志”，我办牵头梳理口岸内外标识标牌，配合交通部门做好免费接驳车辆、公共交通等标识指引，三</w:t>
      </w:r>
      <w:r>
        <w:rPr>
          <w:rFonts w:hint="eastAsia" w:ascii="仿宋_GB2312" w:hAnsi="仿宋_GB2312" w:eastAsia="仿宋_GB2312" w:cs="仿宋_GB2312"/>
          <w:b/>
          <w:bCs/>
          <w:color w:val="auto"/>
          <w:sz w:val="32"/>
          <w:szCs w:val="32"/>
          <w:lang w:val="en-US" w:eastAsia="zh-CN"/>
        </w:rPr>
        <w:t>是</w:t>
      </w:r>
      <w:r>
        <w:rPr>
          <w:rFonts w:hint="default" w:ascii="仿宋_GB2312" w:hAnsi="仿宋_GB2312" w:eastAsia="仿宋_GB2312" w:cs="仿宋_GB2312"/>
          <w:color w:val="auto"/>
          <w:sz w:val="32"/>
          <w:szCs w:val="32"/>
          <w:lang w:val="en-US" w:eastAsia="zh-CN"/>
        </w:rPr>
        <w:t>积极组织开展来深消费便利化活动，</w:t>
      </w:r>
      <w:r>
        <w:rPr>
          <w:rFonts w:hint="eastAsia" w:ascii="仿宋_GB2312" w:hAnsi="仿宋_GB2312" w:eastAsia="仿宋_GB2312" w:cs="仿宋_GB2312"/>
          <w:color w:val="auto"/>
          <w:sz w:val="32"/>
          <w:szCs w:val="32"/>
          <w:lang w:val="en-US" w:eastAsia="zh-CN"/>
        </w:rPr>
        <w:t>从出行打车、通信便利到餐饮、零售消费体验积极组织开展系列活动。其中，组织滴滴出行推出“五一坐滴滴，畅快游深圳”“深港同享 「6折」出发”“专属深港打车券·十大商圈出行福利”等交通出行促消费活动；组织中国移动香港有限公司等移动运营商梳理对港人北上权益服务，推出“港人北上生活节”推出，落地深圳皇庭广场、卓悦中心、金光华、福田星河COCO Park、领展中心城等五家商场，为港人提供专属权益及商场消费券，吸引港客北上消费；组织微信香港、支付宝香港、万事达卡等支付机构及银行还推出“内地消费赏”“10笔97折”等支付优惠活动，营造良好消费氛围。</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sz w:val="32"/>
          <w:szCs w:val="32"/>
          <w:lang w:val="en-US" w:eastAsia="zh-CN"/>
        </w:rPr>
        <w:t>做好服务宣传工作。</w:t>
      </w:r>
      <w:r>
        <w:rPr>
          <w:rFonts w:hint="eastAsia" w:ascii="仿宋_GB2312" w:hAnsi="仿宋_GB2312" w:eastAsia="仿宋_GB2312" w:cs="仿宋_GB2312"/>
          <w:color w:val="auto"/>
          <w:sz w:val="32"/>
          <w:szCs w:val="32"/>
          <w:lang w:val="en-US" w:eastAsia="zh-CN"/>
        </w:rPr>
        <w:t>印发繁体版《境外来深支付指南》《离境退税指南》《罗湖港人一本通2.0》等宣传册，整合多种服务指南，覆盖创业、就业、居住、医疗等全链条需求。</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关于“优化消费环境”的建议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深圳积极结合“深圳购物季”“深圳新型消费季”等全市大型促消费活动，聚焦公园、景点、商圈、社区等消费场景与本地餐饮消费融合，精心打造“第五届深圳福田咖啡生活周”“咖啡艺术露营季”等咖啡主题促消费活动；组织推出“大众点评必吃榜颁奖盛典”“大众点评必吃榜美食市集”“FUN纵一夏”“夏日清凉季”等餐饮消费活动，推出美食漫游地图和餐饮团券；结合端午节点组织开展“端午国风大赏”“花Young端午一起潮BUY”等兼具传统韵味与现代创意的促消费活动，多方位满足来深消费者多元化消费需求。</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结合</w:t>
      </w:r>
      <w:r>
        <w:rPr>
          <w:rFonts w:hint="eastAsia" w:ascii="仿宋_GB2312" w:hAnsi="仿宋_GB2312" w:eastAsia="仿宋_GB2312" w:cs="仿宋_GB2312"/>
          <w:color w:val="auto"/>
          <w:sz w:val="32"/>
          <w:szCs w:val="32"/>
          <w:lang w:val="en-US" w:eastAsia="zh-CN"/>
        </w:rPr>
        <w:t>K11ECOAST，iN城市广场，京东ma11等商场陆续开业，持续打造餐饮、新零售、主题商场等多元化消费场景，吸引香港家庭及年轻群体。同时，打造“湾区海上游”深港旅游合作示范项目，常态化开展文化惠民活动，鼓励观影、看展、音乐旅游等文体娱乐消费，助力两地消费融合提质发展。与深圳、香港香格里拉酒店合作制作深港两地酒店地图宣传折页，并在深港两地高星级酒店投放宣传。</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color w:val="auto"/>
          <w:sz w:val="32"/>
          <w:szCs w:val="32"/>
          <w:lang w:val="en-US" w:eastAsia="zh-CN"/>
        </w:rPr>
        <w:t>开发“红色寻迹”主题研学线路，吸引深港青少年及学校团体参与。</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color w:val="auto"/>
          <w:sz w:val="32"/>
          <w:szCs w:val="32"/>
          <w:lang w:val="en-US" w:eastAsia="zh-CN"/>
        </w:rPr>
        <w:t>在香港举办“湾区同行·共赴鹏城”旅游推介会，加强在香港的宣推，吸引来深旅游消费。</w:t>
      </w:r>
    </w:p>
    <w:p>
      <w:pPr>
        <w:pStyle w:val="8"/>
        <w:keepNext w:val="0"/>
        <w:keepLines w:val="0"/>
        <w:pageBreakBefore w:val="0"/>
        <w:widowControl w:val="0"/>
        <w:numPr>
          <w:ilvl w:val="0"/>
          <w:numId w:val="2"/>
        </w:numPr>
        <w:kinsoku/>
        <w:wordWrap/>
        <w:overflowPunct/>
        <w:topLinePunct w:val="0"/>
        <w:autoSpaceDE/>
        <w:autoSpaceDN/>
        <w:bidi w:val="0"/>
        <w:spacing w:line="560" w:lineRule="exact"/>
        <w:ind w:left="0" w:leftChars="0" w:firstLine="640" w:firstLineChars="200"/>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下一步工作计划</w:t>
      </w:r>
    </w:p>
    <w:p>
      <w:pPr>
        <w:pStyle w:val="8"/>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下一步，我市将继续推进深港消费融合，从支付、餐饮、交通、语言环境优化等多方案持续优化消费服务环境。</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推动全市重点商圈、地铁和离境退税商店支持WeChat Pay HK、Alipay HK及外卡POS等支付方式，打造数字人民币跨境支付和国际业务中心，进一步完善我市国际化支付环境。</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持续结合“深圳购物季”“跨年新春消费季”“深圳新型消费季”“深圳之夏消费季”等全市大型系列促消费活动，组织各大银行、商圈、企业推出多种国际消费主题惠民促消费活动，营造良好消费氛围。</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sz w:val="32"/>
          <w:szCs w:val="32"/>
          <w:lang w:val="en-US" w:eastAsia="zh-CN"/>
        </w:rPr>
        <w:t>聚焦港澳及境外来深人士消费习惯，</w:t>
      </w:r>
      <w:r>
        <w:rPr>
          <w:rFonts w:hint="eastAsia" w:ascii="仿宋_GB2312" w:hAnsi="仿宋_GB2312" w:eastAsia="仿宋_GB2312" w:cs="仿宋_GB2312"/>
          <w:color w:val="auto"/>
          <w:sz w:val="32"/>
          <w:szCs w:val="32"/>
          <w:lang w:val="en-US" w:eastAsia="zh-CN"/>
        </w:rPr>
        <w:t>进一步优化出租车、巴士、地铁等公共交通方式，加强公共交通使用及出行宣传工作，结合AI翻译器等新智能设备加配人工多语种指引服务，提升来深人员消费出行体验便利度。</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b w:val="0"/>
          <w:bCs w:val="0"/>
          <w:color w:val="auto"/>
          <w:sz w:val="32"/>
          <w:szCs w:val="32"/>
          <w:lang w:val="en-US" w:eastAsia="zh-CN"/>
        </w:rPr>
        <w:t>结合国外内主流媒体宣传资源及具有影响力的KOL，对深圳特色生活消费热点及生活便利化方式等方面进行国际化宣传，多维宣传我市旅游生活消费体验的便利化程度，</w:t>
      </w:r>
      <w:r>
        <w:rPr>
          <w:rFonts w:hint="eastAsia" w:ascii="仿宋_GB2312" w:hAnsi="仿宋_GB2312" w:eastAsia="仿宋_GB2312" w:cs="仿宋_GB2312"/>
          <w:color w:val="auto"/>
          <w:sz w:val="32"/>
          <w:szCs w:val="32"/>
          <w:lang w:val="en-US" w:eastAsia="zh-CN"/>
        </w:rPr>
        <w:t>推出消费服务优化视频与消费地图及相关服务手册，加强各类优化服务及促消费活动宣传工作。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专此答复。再次感谢您对我市深港跨境消费，建设湾区生活圈的关心与支持。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深圳市商务局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月</w:t>
      </w:r>
      <w:r>
        <w:rPr>
          <w:rFonts w:hint="default"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60" w:lineRule="exact"/>
        <w:textAlignment w:val="auto"/>
        <w:rPr>
          <w:color w:val="auto"/>
        </w:rPr>
      </w:pPr>
      <w:bookmarkStart w:id="0" w:name="_GoBack"/>
      <w:bookmarkEnd w:id="0"/>
    </w:p>
    <w:sectPr>
      <w:footerReference r:id="rId3" w:type="default"/>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FangSong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黑体-GB2312">
    <w:altName w:val="黑体"/>
    <w:panose1 w:val="00000000000000000000"/>
    <w:charset w:val="00"/>
    <w:family w:val="auto"/>
    <w:pitch w:val="default"/>
    <w:sig w:usb0="00000000" w:usb1="00000000" w:usb2="00000000" w:usb3="00000000" w:csb0="00040001" w:csb1="00000000"/>
  </w:font>
  <w:font w:name="仿宋">
    <w:altName w:val="宋体"/>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uXW5UtAAAAAFAQAADwAAAAAAAAABACAAAAA4&#10;AAAAZHJzL2Rvd25yZXYueG1sUEsBAhQAFAAAAAgAh07iQLGdxC3DAQAAhwMAAA4AAAAAAAAAAQAg&#10;AAAANQEAAGRycy9lMm9Eb2MueG1sUEsFBgAAAAAGAAYAWQEAAGoFAAAAAA==&#10;">
              <v:fill on="f" focussize="0,0"/>
              <v:stroke on="f"/>
              <v:imagedata o:title=""/>
              <o:lock v:ext="edit" aspectratio="f"/>
              <v:textbox inset="0mm,0mm,0mm,0mm" style="mso-fit-shape-to-text:t;">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2DE54"/>
    <w:multiLevelType w:val="singleLevel"/>
    <w:tmpl w:val="F382DE54"/>
    <w:lvl w:ilvl="0" w:tentative="0">
      <w:start w:val="3"/>
      <w:numFmt w:val="chineseCounting"/>
      <w:suff w:val="nothing"/>
      <w:lvlText w:val="%1、"/>
      <w:lvlJc w:val="left"/>
      <w:rPr>
        <w:rFonts w:hint="eastAsia"/>
      </w:rPr>
    </w:lvl>
  </w:abstractNum>
  <w:abstractNum w:abstractNumId="1">
    <w:nsid w:val="00000000"/>
    <w:multiLevelType w:val="singleLevel"/>
    <w:tmpl w:val="0000000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C3D93"/>
    <w:rsid w:val="1A5D3725"/>
    <w:rsid w:val="2CF478A3"/>
    <w:rsid w:val="33CD5020"/>
    <w:rsid w:val="4FFDC4EC"/>
    <w:rsid w:val="50D41344"/>
    <w:rsid w:val="57574A7D"/>
    <w:rsid w:val="5E425137"/>
    <w:rsid w:val="61AB4343"/>
    <w:rsid w:val="7E2D0162"/>
    <w:rsid w:val="DFFF3E36"/>
    <w:rsid w:val="F3CDBE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20" w:lineRule="exact"/>
      <w:jc w:val="center"/>
    </w:pPr>
    <w:rPr>
      <w:rFonts w:hint="eastAsia" w:ascii="Times New Roman" w:hAnsi="Times New Roman" w:eastAsia="宋体" w:cs="Times New Roman"/>
      <w:sz w:val="21"/>
      <w:szCs w:val="24"/>
      <w:lang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11473E7AC7A14325B9C25B3014AC9EDB_13</vt:lpwstr>
  </property>
  <property fmtid="{D5CDD505-2E9C-101B-9397-08002B2CF9AE}" pid="4" name="KSOTemplateDocerSaveRecord">
    <vt:lpwstr>eyJoZGlkIjoiMGU3Y2E1YjE4OTIzOGUyMjE2YzY3ODc2NzNiNDI0M2UiLCJ1c2VySWQiOiIyNDQ3NDIwMDIifQ==</vt:lpwstr>
  </property>
</Properties>
</file>