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left" w:pos="1843"/>
        </w:tabs>
        <w:kinsoku/>
        <w:wordWrap/>
        <w:overflowPunct/>
        <w:topLinePunct w:val="0"/>
        <w:autoSpaceDE/>
        <w:autoSpaceDN/>
        <w:bidi w:val="0"/>
        <w:adjustRightInd/>
        <w:snapToGrid/>
        <w:spacing w:line="56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深圳市商务局关于对市政协七届五次会议</w:t>
      </w:r>
    </w:p>
    <w:p>
      <w:pPr>
        <w:keepNext w:val="0"/>
        <w:keepLines w:val="0"/>
        <w:pageBreakBefore w:val="0"/>
        <w:widowControl w:val="0"/>
        <w:tabs>
          <w:tab w:val="left" w:pos="1843"/>
        </w:tabs>
        <w:kinsoku/>
        <w:wordWrap/>
        <w:overflowPunct/>
        <w:topLinePunct w:val="0"/>
        <w:autoSpaceDE/>
        <w:autoSpaceDN/>
        <w:bidi w:val="0"/>
        <w:adjustRightInd/>
        <w:snapToGrid/>
        <w:spacing w:line="56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第202</w:t>
      </w:r>
      <w:r>
        <w:rPr>
          <w:rFonts w:hint="eastAsia" w:ascii="方正小标宋简体" w:eastAsia="方正小标宋简体"/>
          <w:sz w:val="44"/>
          <w:szCs w:val="44"/>
          <w:lang w:val="en-US" w:eastAsia="zh-CN"/>
        </w:rPr>
        <w:t>50374</w:t>
      </w:r>
      <w:r>
        <w:rPr>
          <w:rFonts w:hint="eastAsia" w:ascii="方正小标宋简体" w:eastAsia="方正小标宋简体"/>
          <w:sz w:val="44"/>
          <w:szCs w:val="44"/>
        </w:rPr>
        <w:t>号建议答复意见的函</w:t>
      </w:r>
    </w:p>
    <w:p>
      <w:pPr>
        <w:keepNext w:val="0"/>
        <w:keepLines w:val="0"/>
        <w:pageBreakBefore w:val="0"/>
        <w:widowControl w:val="0"/>
        <w:tabs>
          <w:tab w:val="left" w:pos="1843"/>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tabs>
          <w:tab w:val="left" w:pos="1843"/>
        </w:tabs>
        <w:kinsoku/>
        <w:wordWrap/>
        <w:overflowPunct/>
        <w:topLinePunct w:val="0"/>
        <w:autoSpaceDE/>
        <w:autoSpaceDN/>
        <w:bidi w:val="0"/>
        <w:adjustRightInd/>
        <w:snapToGrid/>
        <w:spacing w:line="560" w:lineRule="exact"/>
        <w:textAlignment w:val="auto"/>
        <w:rPr>
          <w:rFonts w:ascii="仿宋_GB2312" w:eastAsia="仿宋_GB2312"/>
          <w:sz w:val="32"/>
          <w:szCs w:val="32"/>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台盟深圳市委会</w:t>
      </w:r>
      <w:r>
        <w:rPr>
          <w:rFonts w:hint="eastAsia" w:ascii="仿宋_GB2312" w:eastAsia="仿宋_GB2312"/>
          <w:sz w:val="32"/>
          <w:szCs w:val="32"/>
        </w:rPr>
        <w:t>：</w:t>
      </w:r>
    </w:p>
    <w:p>
      <w:pPr>
        <w:keepNext w:val="0"/>
        <w:keepLines w:val="0"/>
        <w:pageBreakBefore w:val="0"/>
        <w:widowControl w:val="0"/>
        <w:tabs>
          <w:tab w:val="left" w:pos="1843"/>
        </w:tabs>
        <w:kinsoku/>
        <w:wordWrap/>
        <w:overflowPunct/>
        <w:topLinePunct w:val="0"/>
        <w:autoSpaceDE/>
        <w:autoSpaceDN/>
        <w:bidi w:val="0"/>
        <w:adjustRightInd/>
        <w:snapToGrid/>
        <w:spacing w:line="560" w:lineRule="exact"/>
        <w:ind w:firstLine="645"/>
        <w:textAlignment w:val="auto"/>
        <w:rPr>
          <w:rFonts w:ascii="仿宋_GB2312" w:eastAsia="仿宋_GB2312"/>
          <w:sz w:val="32"/>
          <w:szCs w:val="32"/>
        </w:rPr>
      </w:pPr>
      <w:r>
        <w:rPr>
          <w:rFonts w:hint="eastAsia" w:ascii="仿宋_GB2312" w:eastAsia="仿宋_GB2312"/>
          <w:sz w:val="32"/>
          <w:szCs w:val="32"/>
          <w:lang w:eastAsia="zh-CN"/>
        </w:rPr>
        <w:t>贵单位</w:t>
      </w:r>
      <w:r>
        <w:rPr>
          <w:rFonts w:hint="eastAsia" w:ascii="仿宋_GB2312" w:eastAsia="仿宋_GB2312"/>
          <w:sz w:val="32"/>
          <w:szCs w:val="32"/>
        </w:rPr>
        <w:t>在市政协七届五次会议上的《关于支持深企向海发展畅通国内国际双循环的提案》收悉</w:t>
      </w:r>
      <w:r>
        <w:rPr>
          <w:rFonts w:hint="default" w:ascii="仿宋_GB2312" w:eastAsia="仿宋_GB2312"/>
          <w:sz w:val="32"/>
          <w:szCs w:val="32"/>
        </w:rPr>
        <w:t>。</w:t>
      </w:r>
      <w:r>
        <w:rPr>
          <w:rFonts w:hint="eastAsia" w:ascii="仿宋_GB2312" w:hAnsi="仿宋_GB2312" w:eastAsia="仿宋_GB2312" w:cs="仿宋_GB2312"/>
          <w:color w:val="000000"/>
          <w:sz w:val="32"/>
          <w:szCs w:val="32"/>
        </w:rPr>
        <w:t>经认真研究</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现就</w:t>
      </w:r>
      <w:r>
        <w:rPr>
          <w:rFonts w:hint="default" w:ascii="仿宋_GB2312" w:hAnsi="仿宋_GB2312" w:eastAsia="仿宋_GB2312" w:cs="仿宋_GB2312"/>
          <w:color w:val="000000"/>
          <w:sz w:val="32"/>
          <w:szCs w:val="32"/>
        </w:rPr>
        <w:t>建议</w:t>
      </w:r>
      <w:r>
        <w:rPr>
          <w:rFonts w:hint="eastAsia" w:ascii="仿宋_GB2312" w:hAnsi="仿宋_GB2312" w:eastAsia="仿宋_GB2312" w:cs="仿宋_GB2312"/>
          <w:color w:val="000000"/>
          <w:sz w:val="32"/>
          <w:szCs w:val="32"/>
        </w:rPr>
        <w:t>答复如下</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color w:val="121212"/>
          <w:kern w:val="2"/>
          <w:sz w:val="32"/>
          <w:szCs w:val="32"/>
          <w:lang w:eastAsia="zh-CN" w:bidi="ar-SA"/>
        </w:rPr>
      </w:pPr>
      <w:r>
        <w:rPr>
          <w:rFonts w:hint="default" w:ascii="黑体" w:hAnsi="黑体" w:eastAsia="黑体" w:cs="黑体"/>
          <w:color w:val="121212"/>
          <w:kern w:val="2"/>
          <w:sz w:val="32"/>
          <w:szCs w:val="32"/>
          <w:lang w:eastAsia="zh-CN" w:bidi="ar-SA"/>
        </w:rPr>
        <w:t>一、关于“</w:t>
      </w:r>
      <w:r>
        <w:rPr>
          <w:rFonts w:hint="default" w:ascii="黑体" w:hAnsi="黑体" w:eastAsia="黑体" w:cs="黑体"/>
          <w:color w:val="121212"/>
          <w:kern w:val="2"/>
          <w:sz w:val="32"/>
          <w:szCs w:val="32"/>
          <w:lang w:val="en-US" w:eastAsia="zh-CN" w:bidi="ar-SA"/>
        </w:rPr>
        <w:t xml:space="preserve"> 以政策引导强化深企出海信心，提升出海行动力</w:t>
      </w:r>
      <w:r>
        <w:rPr>
          <w:rFonts w:hint="default" w:ascii="黑体" w:hAnsi="黑体" w:eastAsia="黑体" w:cs="黑体"/>
          <w:color w:val="121212"/>
          <w:kern w:val="2"/>
          <w:sz w:val="32"/>
          <w:szCs w:val="32"/>
          <w:lang w:eastAsia="zh-CN" w:bidi="ar-SA"/>
        </w:rPr>
        <w:t>”方面</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2"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一是制定专项扶持政策。</w:t>
      </w:r>
      <w:r>
        <w:rPr>
          <w:rFonts w:hint="default" w:ascii="仿宋_GB2312" w:hAnsi="仿宋_GB2312" w:eastAsia="仿宋_GB2312" w:cs="仿宋_GB2312"/>
          <w:sz w:val="32"/>
          <w:szCs w:val="32"/>
          <w:highlight w:val="none"/>
          <w:lang w:val="en-US" w:eastAsia="zh-CN"/>
        </w:rPr>
        <w:t>为进一步鼓励企业出海，推动更多深企走向国际市场，增加全球市场“含深度”，</w:t>
      </w:r>
      <w:r>
        <w:rPr>
          <w:rFonts w:hint="eastAsia" w:ascii="仿宋_GB2312" w:hAnsi="仿宋_GB2312" w:eastAsia="仿宋_GB2312" w:cs="仿宋_GB2312"/>
          <w:sz w:val="32"/>
          <w:szCs w:val="32"/>
          <w:highlight w:val="none"/>
          <w:lang w:val="en-US" w:eastAsia="zh-CN"/>
        </w:rPr>
        <w:t>市商务局</w:t>
      </w:r>
      <w:r>
        <w:rPr>
          <w:rFonts w:hint="default" w:ascii="仿宋_GB2312" w:hAnsi="仿宋_GB2312" w:eastAsia="仿宋_GB2312" w:cs="仿宋_GB2312"/>
          <w:sz w:val="32"/>
          <w:szCs w:val="32"/>
          <w:highlight w:val="none"/>
          <w:lang w:val="en-US" w:eastAsia="zh-CN"/>
        </w:rPr>
        <w:t>出台了一系列支持政策。对外投资方面，对企业在境外投资项目前期费用、贷款贴息、海外投资保险保费等给予50%资金补贴；对外承包工程方面，</w:t>
      </w:r>
      <w:r>
        <w:rPr>
          <w:rFonts w:hint="eastAsia" w:ascii="仿宋_GB2312" w:hAnsi="仿宋_GB2312" w:eastAsia="仿宋_GB2312" w:cs="仿宋_GB2312"/>
          <w:sz w:val="32"/>
          <w:szCs w:val="32"/>
          <w:highlight w:val="none"/>
          <w:lang w:val="en-US" w:eastAsia="zh-CN"/>
        </w:rPr>
        <w:t>对首次申请对外承包工程绩效增长的予以最高200万元人民币奖励</w:t>
      </w:r>
      <w:r>
        <w:rPr>
          <w:rFonts w:hint="default" w:ascii="仿宋_GB2312" w:hAnsi="仿宋_GB2312" w:eastAsia="仿宋_GB2312" w:cs="仿宋_GB2312"/>
          <w:sz w:val="32"/>
          <w:szCs w:val="32"/>
          <w:highlight w:val="none"/>
          <w:lang w:val="en-US" w:eastAsia="zh-CN"/>
        </w:rPr>
        <w:t>，同时</w:t>
      </w:r>
      <w:r>
        <w:rPr>
          <w:rFonts w:hint="eastAsia" w:ascii="仿宋_GB2312" w:hAnsi="仿宋_GB2312" w:eastAsia="仿宋_GB2312" w:cs="仿宋_GB2312"/>
          <w:sz w:val="32"/>
          <w:szCs w:val="32"/>
          <w:highlight w:val="none"/>
          <w:lang w:val="en-US" w:eastAsia="zh-CN"/>
        </w:rPr>
        <w:t>根据对外承包工程绩效同比上一年度增长的规模，分梯度给予</w:t>
      </w:r>
      <w:r>
        <w:rPr>
          <w:rFonts w:hint="default" w:ascii="仿宋_GB2312" w:hAnsi="仿宋_GB2312" w:eastAsia="仿宋_GB2312" w:cs="仿宋_GB2312"/>
          <w:sz w:val="32"/>
          <w:szCs w:val="32"/>
          <w:highlight w:val="none"/>
          <w:lang w:val="en-US" w:eastAsia="zh-CN"/>
        </w:rPr>
        <w:t>最高200万元</w:t>
      </w:r>
      <w:r>
        <w:rPr>
          <w:rFonts w:hint="eastAsia" w:ascii="仿宋_GB2312" w:hAnsi="仿宋_GB2312" w:eastAsia="仿宋_GB2312" w:cs="仿宋_GB2312"/>
          <w:sz w:val="32"/>
          <w:szCs w:val="32"/>
          <w:highlight w:val="none"/>
          <w:lang w:val="en-US" w:eastAsia="zh-CN"/>
        </w:rPr>
        <w:t>奖励</w:t>
      </w:r>
      <w:r>
        <w:rPr>
          <w:rFonts w:hint="default" w:ascii="仿宋_GB2312" w:hAnsi="仿宋_GB2312" w:eastAsia="仿宋_GB2312" w:cs="仿宋_GB2312"/>
          <w:sz w:val="32"/>
          <w:szCs w:val="32"/>
          <w:highlight w:val="none"/>
          <w:lang w:val="en-US" w:eastAsia="zh-CN"/>
        </w:rPr>
        <w:t>；境外参展方面，对重点企业参加境外展览的给予展位费用50%资金补贴；出口信用保险方面，对企业投保出口信用保险的保费给于一定比例支持，同时为上一年出口额在800万美元以下的我市外贸中小微企业统一投保出口信用保险；海外仓建设方面，支持海外仓持续提升智能化、专业化、规模化水平，对企业获评省级公共海外仓的给予不超过200万元资金补贴。下一步，</w:t>
      </w:r>
      <w:r>
        <w:rPr>
          <w:rFonts w:hint="eastAsia" w:ascii="仿宋_GB2312" w:hAnsi="仿宋_GB2312" w:eastAsia="仿宋_GB2312" w:cs="仿宋_GB2312"/>
          <w:sz w:val="32"/>
          <w:szCs w:val="32"/>
          <w:highlight w:val="none"/>
          <w:lang w:val="en-US" w:eastAsia="zh-CN"/>
        </w:rPr>
        <w:t>市商务</w:t>
      </w:r>
      <w:r>
        <w:rPr>
          <w:rFonts w:hint="default" w:ascii="仿宋_GB2312" w:hAnsi="仿宋_GB2312" w:eastAsia="仿宋_GB2312" w:cs="仿宋_GB2312"/>
          <w:sz w:val="32"/>
          <w:szCs w:val="32"/>
          <w:highlight w:val="none"/>
          <w:lang w:val="en-US" w:eastAsia="zh-CN"/>
        </w:rPr>
        <w:t>局将继续执行好相关政策，确保企业及时获得资金资助，降低企业出海成本。</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2"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highlight w:val="none"/>
          <w:lang w:val="en-US" w:eastAsia="zh-CN"/>
        </w:rPr>
        <w:t>二是完善深企出海投资法治保障机制。</w:t>
      </w:r>
      <w:r>
        <w:rPr>
          <w:rFonts w:hint="default" w:ascii="仿宋_GB2312" w:hAnsi="仿宋_GB2312" w:eastAsia="仿宋_GB2312" w:cs="仿宋_GB2312"/>
          <w:sz w:val="32"/>
          <w:szCs w:val="32"/>
          <w:highlight w:val="none"/>
          <w:lang w:val="en-US" w:eastAsia="zh-CN"/>
        </w:rPr>
        <w:t>深圳国际仲裁院发挥“跨境管辖、适用法律、执行裁决、共享资源”功能，完善跨境协作机制，加快建设粤港澳大湾区国际仲裁中心</w:t>
      </w:r>
      <w:r>
        <w:rPr>
          <w:rFonts w:hint="eastAsia" w:ascii="仿宋_GB2312" w:hAnsi="仿宋_GB2312" w:eastAsia="仿宋_GB2312" w:cs="仿宋_GB2312"/>
          <w:sz w:val="32"/>
          <w:szCs w:val="32"/>
          <w:highlight w:val="none"/>
          <w:lang w:val="en-US" w:eastAsia="zh-CN"/>
        </w:rPr>
        <w:t>，积极</w:t>
      </w:r>
      <w:r>
        <w:rPr>
          <w:rFonts w:hint="default" w:ascii="仿宋_GB2312" w:hAnsi="仿宋_GB2312" w:eastAsia="仿宋_GB2312" w:cs="仿宋_GB2312"/>
          <w:sz w:val="32"/>
          <w:szCs w:val="32"/>
          <w:highlight w:val="none"/>
          <w:lang w:val="en-US" w:eastAsia="zh-CN"/>
        </w:rPr>
        <w:t>推动16家国际机构入驻前海国际仲裁大厦，组团出访东南亚、中亚、非洲等地区，</w:t>
      </w:r>
      <w:r>
        <w:rPr>
          <w:rFonts w:hint="eastAsia" w:ascii="Times New Roman" w:hAnsi="Times New Roman" w:eastAsia="仿宋_GB2312"/>
          <w:sz w:val="32"/>
          <w:szCs w:val="32"/>
          <w:lang w:val="en-US" w:eastAsia="zh-CN"/>
        </w:rPr>
        <w:t>通过建设“深圳国际仲裁院东盟庭审中心（越南海防）”，建立跨国商事争议解决合作机制，</w:t>
      </w:r>
      <w:r>
        <w:rPr>
          <w:rFonts w:hint="default" w:ascii="仿宋_GB2312" w:hAnsi="仿宋_GB2312" w:eastAsia="仿宋_GB2312" w:cs="仿宋_GB2312"/>
          <w:sz w:val="32"/>
          <w:szCs w:val="32"/>
          <w:highlight w:val="none"/>
          <w:lang w:val="en-US" w:eastAsia="zh-CN"/>
        </w:rPr>
        <w:t>了解企业诉求并提供法律保障。依托“双城两院”格局，与香港分院形成“六双” 优势，为出海企业提供多元争议解决选择。同时聚焦金融证券、知识产权、海事海商领域，建三大专业平台，其中证券期货仲裁中心经验获全国推广，为企业提供专业化纠纷化解服务，助力高水平对外开放。2024年受理案件14518宗，争议金额1422.67亿元，其中涉外案件520宗（同比增25.6%），涉及142个国家和地区。</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color w:val="121212"/>
          <w:kern w:val="2"/>
          <w:sz w:val="32"/>
          <w:szCs w:val="32"/>
          <w:lang w:eastAsia="zh-CN" w:bidi="ar-SA"/>
        </w:rPr>
      </w:pPr>
      <w:r>
        <w:rPr>
          <w:rFonts w:hint="default" w:ascii="黑体" w:hAnsi="黑体" w:eastAsia="黑体" w:cs="黑体"/>
          <w:color w:val="121212"/>
          <w:kern w:val="2"/>
          <w:sz w:val="32"/>
          <w:szCs w:val="32"/>
          <w:lang w:eastAsia="zh-CN" w:bidi="ar-SA"/>
        </w:rPr>
        <w:t>二、关于“</w:t>
      </w:r>
      <w:r>
        <w:rPr>
          <w:rFonts w:hint="default" w:ascii="黑体" w:hAnsi="黑体" w:eastAsia="黑体" w:cs="黑体"/>
          <w:color w:val="121212"/>
          <w:kern w:val="2"/>
          <w:sz w:val="32"/>
          <w:szCs w:val="32"/>
          <w:lang w:val="en-US" w:eastAsia="zh-CN" w:bidi="ar-SA"/>
        </w:rPr>
        <w:t>凝聚上下游产业链，共增全链条出海集群优势</w:t>
      </w:r>
      <w:r>
        <w:rPr>
          <w:rFonts w:hint="default" w:ascii="黑体" w:hAnsi="黑体" w:eastAsia="黑体" w:cs="黑体"/>
          <w:color w:val="121212"/>
          <w:kern w:val="2"/>
          <w:sz w:val="32"/>
          <w:szCs w:val="32"/>
          <w:lang w:eastAsia="zh-CN" w:bidi="ar-SA"/>
        </w:rPr>
        <w:t>”方面</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bCs/>
          <w:sz w:val="32"/>
          <w:szCs w:val="32"/>
          <w:highlight w:val="none"/>
          <w:lang w:val="en-US" w:eastAsia="zh-CN"/>
        </w:rPr>
        <w:t>一是完善海外综合服务体系。</w:t>
      </w:r>
      <w:r>
        <w:rPr>
          <w:rFonts w:hint="eastAsia" w:ascii="仿宋_GB2312" w:hAnsi="仿宋_GB2312" w:eastAsia="仿宋_GB2312" w:cs="仿宋_GB2312"/>
          <w:b w:val="0"/>
          <w:bCs w:val="0"/>
          <w:color w:val="auto"/>
          <w:sz w:val="32"/>
          <w:szCs w:val="32"/>
          <w:highlight w:val="none"/>
          <w:u w:val="none"/>
          <w:lang w:val="en-US" w:eastAsia="zh-CN"/>
        </w:rPr>
        <w:t>推动构建“1+N+X”企业出海综合服务平台体系（1为“深圳·前海出海e站通”全市平台；N为各有关区企业海外综合服务分平台、各有关部门专区；X为相关社会机构市场化服务平台），整合海外综合服务平台，推出前海出海e站通的同时，引导全市各有关区建立区级平台中心，</w:t>
      </w:r>
      <w:r>
        <w:rPr>
          <w:rFonts w:hint="default" w:ascii="仿宋_GB2312" w:hAnsi="仿宋_GB2312" w:eastAsia="仿宋_GB2312" w:cs="仿宋_GB2312"/>
          <w:color w:val="000000"/>
          <w:kern w:val="2"/>
          <w:sz w:val="32"/>
          <w:szCs w:val="32"/>
          <w:highlight w:val="none"/>
          <w:shd w:val="clear" w:color="auto" w:fill="FFFFFF"/>
          <w:lang w:eastAsia="zh-CN" w:bidi="ar"/>
        </w:rPr>
        <w:t>例如</w:t>
      </w:r>
      <w:r>
        <w:rPr>
          <w:rFonts w:hint="eastAsia" w:ascii="仿宋_GB2312" w:hAnsi="仿宋_GB2312" w:eastAsia="仿宋_GB2312" w:cs="仿宋_GB2312"/>
          <w:color w:val="000000"/>
          <w:kern w:val="2"/>
          <w:sz w:val="32"/>
          <w:szCs w:val="32"/>
          <w:highlight w:val="none"/>
          <w:shd w:val="clear" w:color="auto" w:fill="FFFFFF"/>
          <w:lang w:eastAsia="zh-CN" w:bidi="ar"/>
        </w:rPr>
        <w:t>推动</w:t>
      </w:r>
      <w:r>
        <w:rPr>
          <w:rFonts w:hint="default" w:ascii="仿宋_GB2312" w:hAnsi="仿宋_GB2312" w:eastAsia="仿宋_GB2312" w:cs="仿宋_GB2312"/>
          <w:color w:val="000000"/>
          <w:kern w:val="2"/>
          <w:sz w:val="32"/>
          <w:szCs w:val="32"/>
          <w:highlight w:val="none"/>
          <w:shd w:val="clear" w:color="auto" w:fill="FFFFFF"/>
          <w:lang w:eastAsia="zh-CN" w:bidi="ar"/>
        </w:rPr>
        <w:t>龙岗区成立龙岗区服务企业出海基地、龙华区成立产业出海联盟等。</w:t>
      </w:r>
      <w:r>
        <w:rPr>
          <w:rFonts w:hint="eastAsia" w:ascii="仿宋_GB2312" w:hAnsi="仿宋_GB2312" w:eastAsia="仿宋_GB2312" w:cs="仿宋_GB2312"/>
          <w:b w:val="0"/>
          <w:bCs w:val="0"/>
          <w:color w:val="auto"/>
          <w:sz w:val="32"/>
          <w:szCs w:val="32"/>
          <w:highlight w:val="none"/>
          <w:u w:val="none"/>
          <w:lang w:val="en-US" w:eastAsia="zh-CN"/>
        </w:rPr>
        <w:t>截至目前，e站通已集成70大类出海服务事项，引导180家专业服务机构入驻，发布企业出海需求事项700余项，举办各类出海活动120余场，推动境内法律、财税、知识产权专业服务机构等第三方服务机构开展国际化布局，为企业出海提供支持保障，出海服务更加完善。</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2"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二是积极组建出海联合体，鼓励企业“抱团出海”。</w:t>
      </w:r>
      <w:r>
        <w:rPr>
          <w:rFonts w:hint="default" w:ascii="仿宋_GB2312" w:hAnsi="仿宋_GB2312" w:eastAsia="仿宋_GB2312" w:cs="仿宋_GB2312"/>
          <w:b w:val="0"/>
          <w:bCs w:val="0"/>
          <w:sz w:val="32"/>
          <w:szCs w:val="32"/>
          <w:highlight w:val="none"/>
          <w:lang w:val="en-US" w:eastAsia="zh-CN"/>
        </w:rPr>
        <w:t>深</w:t>
      </w:r>
      <w:r>
        <w:rPr>
          <w:rFonts w:hint="default" w:ascii="仿宋_GB2312" w:hAnsi="仿宋_GB2312" w:eastAsia="仿宋_GB2312" w:cs="仿宋_GB2312"/>
          <w:sz w:val="32"/>
          <w:szCs w:val="32"/>
          <w:highlight w:val="none"/>
          <w:lang w:val="en-US" w:eastAsia="zh-CN"/>
        </w:rPr>
        <w:t>圳已在重点推进的“20+8”产业集群内部或跨集群间，积极引导和支持龙头企业牵头或行业协会发起成立细分领域/跨领域的产业联盟或合作平台</w:t>
      </w:r>
      <w:r>
        <w:rPr>
          <w:rFonts w:hint="eastAsia" w:ascii="仿宋_GB2312" w:hAnsi="仿宋_GB2312" w:eastAsia="仿宋_GB2312" w:cs="仿宋_GB2312"/>
          <w:sz w:val="32"/>
          <w:szCs w:val="32"/>
          <w:highlight w:val="none"/>
          <w:lang w:val="en-US" w:eastAsia="zh-CN"/>
        </w:rPr>
        <w:t>，如已成立</w:t>
      </w:r>
      <w:r>
        <w:rPr>
          <w:rFonts w:hint="default" w:ascii="仿宋_GB2312" w:hAnsi="仿宋_GB2312" w:eastAsia="仿宋_GB2312" w:cs="仿宋_GB2312"/>
          <w:sz w:val="32"/>
          <w:szCs w:val="32"/>
          <w:highlight w:val="none"/>
          <w:lang w:val="en-US" w:eastAsia="zh-CN"/>
        </w:rPr>
        <w:t>“深圳半导体产业联盟”、“深圳市智能网联汽车产业创新促进会”</w:t>
      </w:r>
      <w:r>
        <w:rPr>
          <w:rFonts w:hint="eastAsia" w:ascii="仿宋_GB2312" w:hAnsi="仿宋_GB2312" w:eastAsia="仿宋_GB2312" w:cs="仿宋_GB2312"/>
          <w:sz w:val="32"/>
          <w:szCs w:val="32"/>
          <w:highlight w:val="none"/>
          <w:lang w:val="en-US" w:eastAsia="zh-CN"/>
        </w:rPr>
        <w:t>，以及市药械办推动成立“深圳药械出海联合体”</w:t>
      </w:r>
      <w:r>
        <w:rPr>
          <w:rFonts w:hint="default" w:ascii="仿宋_GB2312" w:hAnsi="仿宋_GB2312" w:eastAsia="仿宋_GB2312" w:cs="仿宋_GB2312"/>
          <w:sz w:val="32"/>
          <w:szCs w:val="32"/>
          <w:highlight w:val="none"/>
          <w:lang w:val="en-US" w:eastAsia="zh-CN"/>
        </w:rPr>
        <w:t>等组织</w:t>
      </w:r>
      <w:r>
        <w:rPr>
          <w:rFonts w:hint="eastAsia" w:ascii="仿宋_GB2312" w:hAnsi="仿宋_GB2312" w:eastAsia="仿宋_GB2312" w:cs="仿宋_GB2312"/>
          <w:sz w:val="32"/>
          <w:szCs w:val="32"/>
          <w:highlight w:val="none"/>
          <w:lang w:val="en-US" w:eastAsia="zh-CN"/>
        </w:rPr>
        <w:t>，相关平台重点聚焦深圳优势产业集群，如半导体、新能源、生物医药等领域，通过并购、加盟、持股等方式，助力民营企业抱团出海，为深圳民营企业海外拓展提供有力支撑。</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2" w:firstLineChars="200"/>
        <w:textAlignment w:val="auto"/>
        <w:rPr>
          <w:rFonts w:hint="default" w:ascii="黑体" w:hAnsi="黑体" w:eastAsia="黑体" w:cs="黑体"/>
          <w:color w:val="121212"/>
          <w:kern w:val="2"/>
          <w:sz w:val="32"/>
          <w:szCs w:val="32"/>
          <w:lang w:eastAsia="zh-CN" w:bidi="ar-SA"/>
        </w:rPr>
      </w:pPr>
      <w:r>
        <w:rPr>
          <w:rFonts w:hint="eastAsia" w:ascii="仿宋_GB2312" w:hAnsi="仿宋_GB2312" w:eastAsia="仿宋_GB2312" w:cs="仿宋_GB2312"/>
          <w:b/>
          <w:bCs/>
          <w:sz w:val="32"/>
          <w:szCs w:val="32"/>
          <w:highlight w:val="none"/>
          <w:lang w:val="en-US" w:eastAsia="zh-CN"/>
        </w:rPr>
        <w:t>三是助力重点领域企业创新跨境电商业务模式。</w:t>
      </w:r>
      <w:r>
        <w:rPr>
          <w:rFonts w:hint="eastAsia" w:ascii="仿宋_GB2312" w:hAnsi="仿宋_GB2312" w:eastAsia="仿宋_GB2312" w:cs="仿宋_GB2312"/>
          <w:sz w:val="32"/>
          <w:szCs w:val="32"/>
          <w:highlight w:val="none"/>
          <w:lang w:val="en-US" w:eastAsia="zh-CN"/>
        </w:rPr>
        <w:t>在新能源、智能网联、储能、电子信息和无人飞行器等领域，我市已出台系列政策鼓励企业开展跨境电商业务模式创新。市商务局联合海关、税务等部门，优化跨境电商通关流程，实现“秒级”通关，同时简化出口退税手续，将退税办理时长压缩至3个工作日以内。在公共服务平台建设方面，已建成“深圳跨境电商阳光化公共服务平台”，为企业提供海外市场信息、物流仓储对接、跨境支付结算等一站式服务。此外，对在跨境电商模式创新方面表现突出的企业，给予最高500万元的资金资助，鼓励企业探索直播带货、社交电商、跨境电商C2M定制等新兴业务模式，积极拓展海外市场新赛道，目前已有多家企业通过创新模式实现海外销售额翻倍增长。</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color w:val="121212"/>
          <w:kern w:val="2"/>
          <w:sz w:val="32"/>
          <w:szCs w:val="32"/>
          <w:lang w:eastAsia="zh-CN" w:bidi="ar-SA"/>
        </w:rPr>
      </w:pPr>
      <w:r>
        <w:rPr>
          <w:rFonts w:hint="default" w:ascii="黑体" w:hAnsi="黑体" w:eastAsia="黑体" w:cs="黑体"/>
          <w:color w:val="121212"/>
          <w:kern w:val="2"/>
          <w:sz w:val="32"/>
          <w:szCs w:val="32"/>
          <w:lang w:eastAsia="zh-CN" w:bidi="ar-SA"/>
        </w:rPr>
        <w:t>三、关于“</w:t>
      </w:r>
      <w:r>
        <w:rPr>
          <w:rFonts w:hint="default" w:ascii="黑体" w:hAnsi="黑体" w:eastAsia="黑体" w:cs="黑体"/>
          <w:color w:val="121212"/>
          <w:kern w:val="2"/>
          <w:sz w:val="32"/>
          <w:szCs w:val="32"/>
          <w:lang w:val="en-US" w:eastAsia="zh-CN" w:bidi="ar-SA"/>
        </w:rPr>
        <w:t>鼓励龙头企业打头阵，打造良性出海企业生态</w:t>
      </w:r>
      <w:r>
        <w:rPr>
          <w:rFonts w:hint="default" w:ascii="黑体" w:hAnsi="黑体" w:eastAsia="黑体" w:cs="黑体"/>
          <w:color w:val="121212"/>
          <w:kern w:val="2"/>
          <w:sz w:val="32"/>
          <w:szCs w:val="32"/>
          <w:lang w:eastAsia="zh-CN" w:bidi="ar-SA"/>
        </w:rPr>
        <w:t>”方面</w:t>
      </w:r>
    </w:p>
    <w:p>
      <w:pPr>
        <w:pStyle w:val="4"/>
        <w:keepNext w:val="0"/>
        <w:keepLines w:val="0"/>
        <w:pageBreakBefore w:val="0"/>
        <w:widowControl w:val="0"/>
        <w:kinsoku/>
        <w:wordWrap/>
        <w:overflowPunct/>
        <w:topLinePunct w:val="0"/>
        <w:autoSpaceDN/>
        <w:bidi w:val="0"/>
        <w:adjustRightInd w:val="0"/>
        <w:snapToGrid w:val="0"/>
        <w:spacing w:beforeLines="0" w:afterLines="0" w:line="560" w:lineRule="exact"/>
        <w:ind w:firstLine="640" w:firstLineChars="200"/>
        <w:textAlignment w:val="auto"/>
        <w:rPr>
          <w:rFonts w:hint="eastAsia" w:ascii="仿宋_GB2312" w:hAnsi="仿宋_GB2312" w:eastAsia="仿宋_GB2312" w:cs="仿宋_GB2312"/>
          <w:sz w:val="32"/>
          <w:lang w:eastAsia="zh-CN"/>
        </w:rPr>
      </w:pPr>
      <w:r>
        <w:rPr>
          <w:rFonts w:hint="eastAsia" w:ascii="仿宋_GB2312" w:hAnsi="仿宋_GB2312" w:eastAsia="仿宋_GB2312" w:cs="仿宋_GB2312"/>
          <w:sz w:val="32"/>
          <w:szCs w:val="40"/>
          <w:lang w:val="en-US" w:eastAsia="zh-CN"/>
        </w:rPr>
        <w:t>目前，深圳市投资控股有限公司所属</w:t>
      </w:r>
      <w:r>
        <w:rPr>
          <w:rFonts w:hint="eastAsia" w:ascii="仿宋_GB2312" w:hAnsi="仿宋_GB2312" w:eastAsia="仿宋_GB2312" w:cs="仿宋_GB2312"/>
          <w:sz w:val="32"/>
          <w:lang w:val="en-US" w:eastAsia="zh-CN"/>
        </w:rPr>
        <w:t>深圳市深越联合投资有限公司已在越南投资建设中国·越南（深圳－海防）经济贸易合作区（简称深越合作区），已建成产业用房以及路桥管网、水电气等公共基础设施，入驻30余家中资企业，形成</w:t>
      </w:r>
      <w:r>
        <w:rPr>
          <w:rFonts w:hint="eastAsia" w:ascii="仿宋_GB2312" w:hAnsi="仿宋_GB2312" w:eastAsia="仿宋_GB2312" w:cs="仿宋_GB2312"/>
          <w:sz w:val="32"/>
        </w:rPr>
        <w:t>以电子机电为主导产业的科技工业园</w:t>
      </w:r>
      <w:r>
        <w:rPr>
          <w:rFonts w:hint="eastAsia" w:ascii="仿宋_GB2312" w:hAnsi="仿宋_GB2312" w:eastAsia="仿宋_GB2312" w:cs="仿宋_GB2312"/>
          <w:sz w:val="32"/>
          <w:lang w:eastAsia="zh-CN"/>
        </w:rPr>
        <w:t>，成为“一带一路”标杆项目。</w:t>
      </w:r>
      <w:r>
        <w:rPr>
          <w:rFonts w:hint="eastAsia" w:ascii="仿宋_GB2312" w:hAnsi="仿宋_GB2312" w:eastAsia="仿宋_GB2312" w:cs="仿宋_GB2312"/>
          <w:sz w:val="32"/>
          <w:szCs w:val="32"/>
          <w:lang w:eastAsia="zh-CN"/>
        </w:rPr>
        <w:t>今年</w:t>
      </w:r>
      <w:r>
        <w:rPr>
          <w:rFonts w:hint="eastAsia" w:ascii="仿宋_GB2312" w:hAnsi="仿宋_GB2312" w:eastAsia="仿宋_GB2312" w:cs="仿宋_GB2312"/>
          <w:sz w:val="32"/>
          <w:szCs w:val="32"/>
          <w:lang w:val="en-US" w:eastAsia="zh-CN"/>
        </w:rPr>
        <w:t>1-6月，</w:t>
      </w:r>
      <w:r>
        <w:rPr>
          <w:rFonts w:hint="eastAsia" w:ascii="仿宋_GB2312" w:hAnsi="仿宋_GB2312" w:eastAsia="仿宋_GB2312" w:cs="仿宋_GB2312"/>
          <w:snapToGrid w:val="0"/>
          <w:color w:val="000000"/>
          <w:kern w:val="0"/>
          <w:sz w:val="32"/>
          <w:szCs w:val="32"/>
          <w:highlight w:val="none"/>
          <w:lang w:val="en-US" w:eastAsia="zh-CN"/>
        </w:rPr>
        <w:t>深越合作区总产值达12.8亿美元，同比增长30.2%；带动国内货物出口7.2亿美元，同比增长41.8%。</w:t>
      </w:r>
    </w:p>
    <w:p>
      <w:pPr>
        <w:pStyle w:val="4"/>
        <w:keepNext w:val="0"/>
        <w:keepLines w:val="0"/>
        <w:pageBreakBefore w:val="0"/>
        <w:widowControl w:val="0"/>
        <w:kinsoku/>
        <w:wordWrap/>
        <w:overflowPunct/>
        <w:topLinePunct w:val="0"/>
        <w:autoSpaceDN/>
        <w:bidi w:val="0"/>
        <w:adjustRightInd w:val="0"/>
        <w:snapToGrid w:val="0"/>
        <w:spacing w:beforeLines="0" w:afterLines="0" w:line="560" w:lineRule="exact"/>
        <w:ind w:firstLine="640" w:firstLineChars="200"/>
        <w:textAlignment w:val="auto"/>
        <w:rPr>
          <w:rFonts w:hint="eastAsia" w:ascii="楷体-GB2312" w:hAnsi="楷体-GB2312" w:eastAsia="楷体-GB2312" w:cs="楷体-GB2312"/>
          <w:b/>
          <w:bCs/>
          <w:kern w:val="2"/>
          <w:sz w:val="32"/>
          <w:szCs w:val="32"/>
          <w:highlight w:val="none"/>
          <w:lang w:val="en-US" w:eastAsia="zh-CN" w:bidi="ar-SA"/>
        </w:rPr>
      </w:pPr>
      <w:r>
        <w:rPr>
          <w:rFonts w:hint="eastAsia" w:ascii="仿宋_GB2312" w:hAnsi="仿宋_GB2312" w:eastAsia="仿宋_GB2312" w:cs="仿宋_GB2312"/>
          <w:sz w:val="32"/>
          <w:lang w:val="en-US" w:eastAsia="zh-CN"/>
        </w:rPr>
        <w:t>下一步，我们将持续建设并运营好深越合作区，探索以轻资产模式拓展东南亚地区的产业园区，积极为各类出海企业提供政策咨询、项目选址、项目代建、园区运营、商务会展等一站式服务，探索</w:t>
      </w:r>
      <w:r>
        <w:rPr>
          <w:rFonts w:hint="eastAsia" w:ascii="仿宋_GB2312" w:hAnsi="仿宋_GB2312" w:eastAsia="仿宋_GB2312" w:cs="仿宋_GB2312"/>
          <w:sz w:val="32"/>
          <w:szCs w:val="40"/>
          <w:lang w:val="en-US" w:eastAsia="zh-CN"/>
        </w:rPr>
        <w:t>打造中资企业拓展东南亚市场的出海平台。</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color w:val="121212"/>
          <w:kern w:val="2"/>
          <w:sz w:val="32"/>
          <w:szCs w:val="32"/>
          <w:lang w:eastAsia="zh-CN" w:bidi="ar-SA"/>
        </w:rPr>
      </w:pPr>
      <w:r>
        <w:rPr>
          <w:rFonts w:hint="default" w:ascii="黑体" w:hAnsi="黑体" w:eastAsia="黑体" w:cs="黑体"/>
          <w:color w:val="121212"/>
          <w:kern w:val="2"/>
          <w:sz w:val="32"/>
          <w:szCs w:val="32"/>
          <w:lang w:eastAsia="zh-CN" w:bidi="ar-SA"/>
        </w:rPr>
        <w:t>四、关于“</w:t>
      </w:r>
      <w:r>
        <w:rPr>
          <w:rFonts w:hint="default" w:ascii="黑体" w:hAnsi="黑体" w:eastAsia="黑体" w:cs="黑体"/>
          <w:color w:val="121212"/>
          <w:kern w:val="2"/>
          <w:sz w:val="32"/>
          <w:szCs w:val="32"/>
          <w:lang w:val="en-US" w:eastAsia="zh-CN" w:bidi="ar-SA"/>
        </w:rPr>
        <w:t>系统性提升深企海外突发事件应急处置能力</w:t>
      </w:r>
      <w:r>
        <w:rPr>
          <w:rFonts w:hint="default" w:ascii="黑体" w:hAnsi="黑体" w:eastAsia="黑体" w:cs="黑体"/>
          <w:color w:val="121212"/>
          <w:kern w:val="2"/>
          <w:sz w:val="32"/>
          <w:szCs w:val="32"/>
          <w:lang w:eastAsia="zh-CN" w:bidi="ar-SA"/>
        </w:rPr>
        <w:t>”方面</w:t>
      </w:r>
    </w:p>
    <w:p>
      <w:pPr>
        <w:pStyle w:val="3"/>
        <w:keepNext w:val="0"/>
        <w:keepLines w:val="0"/>
        <w:pageBreakBefore w:val="0"/>
        <w:widowControl w:val="0"/>
        <w:kinsoku/>
        <w:wordWrap/>
        <w:overflowPunct/>
        <w:topLinePunct w:val="0"/>
        <w:autoSpaceDE/>
        <w:autoSpaceDN/>
        <w:bidi w:val="0"/>
        <w:adjustRightInd/>
        <w:snapToGrid/>
        <w:spacing w:line="560" w:lineRule="exact"/>
        <w:ind w:firstLine="642" w:firstLineChars="200"/>
        <w:textAlignment w:val="auto"/>
        <w:rPr>
          <w:rFonts w:hint="eastAsia" w:ascii="仿宋_GB2312" w:hAnsi="仿宋_GB2312" w:eastAsia="仿宋_GB2312" w:cs="仿宋_GB2312"/>
          <w:kern w:val="2"/>
          <w:sz w:val="32"/>
          <w:szCs w:val="21"/>
          <w:lang w:val="en-US" w:eastAsia="zh-CN" w:bidi="ar-SA"/>
        </w:rPr>
      </w:pPr>
      <w:r>
        <w:rPr>
          <w:rFonts w:hint="eastAsia" w:ascii="仿宋_GB2312" w:hAnsi="仿宋_GB2312" w:eastAsia="仿宋_GB2312" w:cs="仿宋_GB2312"/>
          <w:b/>
          <w:bCs/>
          <w:kern w:val="2"/>
          <w:sz w:val="32"/>
          <w:szCs w:val="21"/>
          <w:lang w:val="en-US" w:eastAsia="zh-CN" w:bidi="ar-SA"/>
        </w:rPr>
        <w:t>一是加强对企业海外经营合规指导和预警。</w:t>
      </w:r>
      <w:r>
        <w:rPr>
          <w:rFonts w:hint="eastAsia" w:ascii="仿宋_GB2312" w:hAnsi="仿宋_GB2312" w:eastAsia="仿宋_GB2312" w:cs="仿宋_GB2312"/>
          <w:kern w:val="2"/>
          <w:sz w:val="32"/>
          <w:szCs w:val="21"/>
          <w:lang w:val="en-US" w:eastAsia="zh-CN" w:bidi="ar-SA"/>
        </w:rPr>
        <w:t>深化与前海e站通等平台协同工作机制，鼓励专业服务机构、行业协会等利用线下培训、视频授课、主题沙龙、信息推送等方式，提升企业海外经营合规意识出海平台成立以来，集成了发展改革、可提供超过60类项政府服务和出海业务咨询及受理，吸引金融、法律、人力资源、财会、园区选址等180家专业服务机构入驻，可为深圳企业出海提供“走出去”保姆式服务。同时，前海联动港澳打造优质高效的现代服务业新体系，深化金融业开放创新，提高专业服务业国际化水平，持续吸引高端要素、完善服务生态、夯实市场化服务供给，提升市场主体跨国经营能力。在风险预警方面，平台通过网站，定期发布企业合规风险预警、安全风险预警、市场风险预警等风险防范提示。聚焦投资准入、贸易摩擦、合规运营等环节，通过组建服务专班、提供培训等方式，强化贸易救济服务能力。</w:t>
      </w:r>
    </w:p>
    <w:p>
      <w:pPr>
        <w:pStyle w:val="3"/>
        <w:keepNext w:val="0"/>
        <w:keepLines w:val="0"/>
        <w:pageBreakBefore w:val="0"/>
        <w:widowControl w:val="0"/>
        <w:kinsoku/>
        <w:wordWrap/>
        <w:overflowPunct/>
        <w:topLinePunct w:val="0"/>
        <w:autoSpaceDE/>
        <w:autoSpaceDN/>
        <w:bidi w:val="0"/>
        <w:adjustRightInd/>
        <w:snapToGrid/>
        <w:spacing w:line="560" w:lineRule="exact"/>
        <w:ind w:firstLine="642" w:firstLineChars="200"/>
        <w:textAlignment w:val="auto"/>
        <w:rPr>
          <w:rFonts w:hint="eastAsia" w:ascii="仿宋_GB2312" w:hAnsi="仿宋_GB2312" w:eastAsia="仿宋_GB2312" w:cs="仿宋_GB2312"/>
          <w:kern w:val="2"/>
          <w:sz w:val="32"/>
          <w:szCs w:val="21"/>
          <w:lang w:val="en-US" w:eastAsia="zh-CN" w:bidi="ar-SA"/>
        </w:rPr>
      </w:pPr>
      <w:r>
        <w:rPr>
          <w:rFonts w:hint="eastAsia" w:ascii="仿宋_GB2312" w:hAnsi="仿宋_GB2312" w:eastAsia="仿宋_GB2312" w:cs="仿宋_GB2312"/>
          <w:b/>
          <w:bCs/>
          <w:kern w:val="2"/>
          <w:sz w:val="32"/>
          <w:szCs w:val="21"/>
          <w:lang w:val="en-US" w:eastAsia="zh-CN" w:bidi="ar-SA"/>
        </w:rPr>
        <w:t>二是加快投资东道国基础信息的整理汇编。</w:t>
      </w:r>
      <w:r>
        <w:rPr>
          <w:rFonts w:hint="eastAsia" w:ascii="仿宋_GB2312" w:hAnsi="仿宋_GB2312" w:eastAsia="仿宋_GB2312" w:cs="仿宋_GB2312"/>
          <w:kern w:val="2"/>
          <w:sz w:val="32"/>
          <w:szCs w:val="21"/>
          <w:lang w:val="en-US" w:eastAsia="zh-CN" w:bidi="ar-SA"/>
        </w:rPr>
        <w:t>目前已制定《深圳市关于面向重点区域国家的经贸合作指引（第一批）》，对接招商银行和汇丰等金融机构，获取国别金融风险研究报告，完善企业走出去服务中心国别服务，同时完善上述合作指引，涵盖投资东道国国情、产业发展、税收财务、劳资关系等基础信息的整理汇编，下一步计划近期印发。</w:t>
      </w:r>
    </w:p>
    <w:p>
      <w:pPr>
        <w:pStyle w:val="3"/>
        <w:keepNext w:val="0"/>
        <w:keepLines w:val="0"/>
        <w:pageBreakBefore w:val="0"/>
        <w:widowControl w:val="0"/>
        <w:kinsoku/>
        <w:wordWrap/>
        <w:overflowPunct/>
        <w:topLinePunct w:val="0"/>
        <w:autoSpaceDE/>
        <w:autoSpaceDN/>
        <w:bidi w:val="0"/>
        <w:adjustRightInd/>
        <w:snapToGrid/>
        <w:spacing w:line="560" w:lineRule="exact"/>
        <w:ind w:firstLine="642" w:firstLineChars="200"/>
        <w:textAlignment w:val="auto"/>
        <w:rPr>
          <w:rFonts w:hint="eastAsia" w:ascii="黑体" w:hAnsi="黑体" w:eastAsia="黑体" w:cs="黑体"/>
          <w:color w:val="121212"/>
          <w:kern w:val="2"/>
          <w:sz w:val="32"/>
          <w:szCs w:val="32"/>
          <w:lang w:eastAsia="zh-CN" w:bidi="ar-SA"/>
        </w:rPr>
      </w:pPr>
      <w:r>
        <w:rPr>
          <w:rFonts w:hint="eastAsia" w:ascii="仿宋_GB2312" w:hAnsi="仿宋_GB2312" w:eastAsia="仿宋_GB2312" w:cs="仿宋_GB2312"/>
          <w:b/>
          <w:bCs/>
          <w:kern w:val="2"/>
          <w:sz w:val="32"/>
          <w:szCs w:val="21"/>
          <w:lang w:val="en-US" w:eastAsia="zh-CN" w:bidi="ar-SA"/>
        </w:rPr>
        <w:t>三是增强企业和市民的海外风险防范意识。</w:t>
      </w:r>
      <w:r>
        <w:rPr>
          <w:rFonts w:hint="eastAsia" w:ascii="仿宋_GB2312" w:hAnsi="仿宋_GB2312" w:eastAsia="仿宋_GB2312" w:cs="仿宋_GB2312"/>
          <w:kern w:val="2"/>
          <w:sz w:val="32"/>
          <w:szCs w:val="21"/>
          <w:lang w:val="en-US" w:eastAsia="zh-CN" w:bidi="ar-SA"/>
        </w:rPr>
        <w:t>先后联合我驻15个国家的大使馆举办15期“外交为民守初心”活动，请我驻外使领馆为深圳企业安全平安“走出去”，统筹好发展与安全保驾护航。举办“祖国在身后，领保伴我行”海外领保主题征文大赛和16场海外领保专题宣讲活动，推动海外领事保护知识进企业、进校园、进社区，增强企业和市民的海外风险防范意识。有效邀请深圳市蓝海法律查明和商事调解中心负责人就全球化背景下企业如何应对海外风险挑战以及政府如何护航企业“走出去”进行“外事开讲”。协助前海一带一路法律服务联合会拓展海外律所合作伙伴，助其筹备全球华语律师大会。下一步继续密切与外交部和我驻外使领馆联系，加强预防性海外领事保护宣传，为涉外法治建设和海外应急处突提供有力支撑。</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color w:val="121212"/>
          <w:kern w:val="2"/>
          <w:sz w:val="32"/>
          <w:szCs w:val="32"/>
          <w:lang w:eastAsia="zh-CN" w:bidi="ar-SA"/>
        </w:rPr>
      </w:pPr>
      <w:r>
        <w:rPr>
          <w:rFonts w:hint="eastAsia" w:ascii="黑体" w:hAnsi="黑体" w:eastAsia="黑体" w:cs="黑体"/>
          <w:color w:val="121212"/>
          <w:kern w:val="2"/>
          <w:sz w:val="32"/>
          <w:szCs w:val="32"/>
          <w:lang w:eastAsia="zh-CN" w:bidi="ar-SA"/>
        </w:rPr>
        <w:t>五</w:t>
      </w:r>
      <w:r>
        <w:rPr>
          <w:rFonts w:hint="default" w:ascii="黑体" w:hAnsi="黑体" w:eastAsia="黑体" w:cs="黑体"/>
          <w:color w:val="121212"/>
          <w:kern w:val="2"/>
          <w:sz w:val="32"/>
          <w:szCs w:val="32"/>
          <w:lang w:eastAsia="zh-CN" w:bidi="ar-SA"/>
        </w:rPr>
        <w:t>、关于“</w:t>
      </w:r>
      <w:r>
        <w:rPr>
          <w:rFonts w:hint="default" w:ascii="黑体" w:hAnsi="黑体" w:eastAsia="黑体" w:cs="黑体"/>
          <w:color w:val="121212"/>
          <w:kern w:val="2"/>
          <w:sz w:val="32"/>
          <w:szCs w:val="32"/>
          <w:lang w:val="en-US" w:eastAsia="zh-CN" w:bidi="ar-SA"/>
        </w:rPr>
        <w:t>全面提升深企出海</w:t>
      </w:r>
      <w:r>
        <w:rPr>
          <w:rFonts w:hint="eastAsia" w:ascii="黑体" w:hAnsi="黑体" w:eastAsia="黑体" w:cs="黑体"/>
          <w:color w:val="121212"/>
          <w:kern w:val="2"/>
          <w:sz w:val="32"/>
          <w:szCs w:val="32"/>
          <w:lang w:val="en-US" w:eastAsia="zh-CN" w:bidi="ar-SA"/>
        </w:rPr>
        <w:t>‘</w:t>
      </w:r>
      <w:r>
        <w:rPr>
          <w:rFonts w:hint="default" w:ascii="黑体" w:hAnsi="黑体" w:eastAsia="黑体" w:cs="黑体"/>
          <w:color w:val="121212"/>
          <w:kern w:val="2"/>
          <w:sz w:val="32"/>
          <w:szCs w:val="32"/>
          <w:lang w:val="en-US" w:eastAsia="zh-CN" w:bidi="ar-SA"/>
        </w:rPr>
        <w:t>软实力</w:t>
      </w:r>
      <w:r>
        <w:rPr>
          <w:rFonts w:hint="eastAsia" w:ascii="黑体" w:hAnsi="黑体" w:eastAsia="黑体" w:cs="黑体"/>
          <w:color w:val="121212"/>
          <w:kern w:val="2"/>
          <w:sz w:val="32"/>
          <w:szCs w:val="32"/>
          <w:lang w:val="en-US" w:eastAsia="zh-CN" w:bidi="ar-SA"/>
        </w:rPr>
        <w:t>’</w:t>
      </w:r>
      <w:r>
        <w:rPr>
          <w:rFonts w:hint="default" w:ascii="黑体" w:hAnsi="黑体" w:eastAsia="黑体" w:cs="黑体"/>
          <w:color w:val="121212"/>
          <w:kern w:val="2"/>
          <w:sz w:val="32"/>
          <w:szCs w:val="32"/>
          <w:lang w:val="en-US" w:eastAsia="zh-CN" w:bidi="ar-SA"/>
        </w:rPr>
        <w:t>，倍增</w:t>
      </w:r>
      <w:r>
        <w:rPr>
          <w:rFonts w:hint="eastAsia" w:ascii="黑体" w:hAnsi="黑体" w:eastAsia="黑体" w:cs="黑体"/>
          <w:color w:val="121212"/>
          <w:kern w:val="2"/>
          <w:sz w:val="32"/>
          <w:szCs w:val="32"/>
          <w:lang w:val="en-US" w:eastAsia="zh-CN" w:bidi="ar-SA"/>
        </w:rPr>
        <w:t>‘</w:t>
      </w:r>
      <w:r>
        <w:rPr>
          <w:rFonts w:hint="default" w:ascii="黑体" w:hAnsi="黑体" w:eastAsia="黑体" w:cs="黑体"/>
          <w:color w:val="121212"/>
          <w:kern w:val="2"/>
          <w:sz w:val="32"/>
          <w:szCs w:val="32"/>
          <w:lang w:val="en-US" w:eastAsia="zh-CN" w:bidi="ar-SA"/>
        </w:rPr>
        <w:t>深圳制造</w:t>
      </w:r>
      <w:r>
        <w:rPr>
          <w:rFonts w:hint="eastAsia" w:ascii="黑体" w:hAnsi="黑体" w:eastAsia="黑体" w:cs="黑体"/>
          <w:color w:val="121212"/>
          <w:kern w:val="2"/>
          <w:sz w:val="32"/>
          <w:szCs w:val="32"/>
          <w:lang w:val="en-US" w:eastAsia="zh-CN" w:bidi="ar-SA"/>
        </w:rPr>
        <w:t>’</w:t>
      </w:r>
      <w:r>
        <w:rPr>
          <w:rFonts w:hint="default" w:ascii="黑体" w:hAnsi="黑体" w:eastAsia="黑体" w:cs="黑体"/>
          <w:color w:val="121212"/>
          <w:kern w:val="2"/>
          <w:sz w:val="32"/>
          <w:szCs w:val="32"/>
          <w:lang w:val="en-US" w:eastAsia="zh-CN" w:bidi="ar-SA"/>
        </w:rPr>
        <w:t>品牌效应</w:t>
      </w:r>
      <w:r>
        <w:rPr>
          <w:rFonts w:hint="default" w:ascii="黑体" w:hAnsi="黑体" w:eastAsia="黑体" w:cs="黑体"/>
          <w:color w:val="121212"/>
          <w:kern w:val="2"/>
          <w:sz w:val="32"/>
          <w:szCs w:val="32"/>
          <w:lang w:eastAsia="zh-CN" w:bidi="ar-SA"/>
        </w:rPr>
        <w:t>”方面</w:t>
      </w:r>
    </w:p>
    <w:p>
      <w:pPr>
        <w:pStyle w:val="17"/>
        <w:keepNext w:val="0"/>
        <w:keepLines w:val="0"/>
        <w:pageBreakBefore w:val="0"/>
        <w:widowControl w:val="0"/>
        <w:kinsoku/>
        <w:overflowPunct/>
        <w:topLinePunct w:val="0"/>
        <w:autoSpaceDE/>
        <w:autoSpaceDN/>
        <w:bidi w:val="0"/>
        <w:snapToGrid w:val="0"/>
        <w:spacing w:line="560" w:lineRule="exact"/>
        <w:ind w:firstLine="640"/>
        <w:rPr>
          <w:rFonts w:hint="eastAsia"/>
        </w:rPr>
      </w:pPr>
      <w:r>
        <w:rPr>
          <w:rFonts w:hint="eastAsia"/>
          <w:b/>
          <w:bCs/>
        </w:rPr>
        <w:t>一是</w:t>
      </w:r>
      <w:r>
        <w:rPr>
          <w:rFonts w:hint="eastAsia"/>
        </w:rPr>
        <w:t>积极组织企业参加香港创科展、春季电子展和澳门BEYOND展、德国汉诺威工业展、澳门国际贸易投资展览会等展会，持续助力企业拓展海内外市场。4月13</w:t>
      </w:r>
      <w:r>
        <w:rPr>
          <w:rFonts w:hint="eastAsia"/>
          <w:lang w:eastAsia="zh-CN"/>
        </w:rPr>
        <w:t>—</w:t>
      </w:r>
      <w:r>
        <w:rPr>
          <w:rFonts w:hint="eastAsia"/>
        </w:rPr>
        <w:t>16日，第三届香港国际创科展在香港会议展览中心举办，我局携百家优质科技企业组成深AI科技主题馆参展。为期四天的展会期间，来自深圳各领域的科技创新企业集中展示了80余款科技创新“潮品”，涵盖载人无人机、仿生机器人、智能翻译设备、3D虚拟数字人等尖端技术。据不完全统计，现场参展企业共接待全球各地的访客近1.5万人次，并通过交互展示、路演、参与香港主办方组织的交流对接会等形式，不仅现场实现零售成交，更与全球买家达成意向甚至直接的订单合作，合作金额超亿元。同时吸引了长春市经济合作局、西安市科技局、香港房屋署、香港投资推广署、香港高校等单位的领导莅临展馆参观及洽谈合作。</w:t>
      </w:r>
    </w:p>
    <w:p>
      <w:pPr>
        <w:pStyle w:val="17"/>
        <w:keepNext w:val="0"/>
        <w:keepLines w:val="0"/>
        <w:pageBreakBefore w:val="0"/>
        <w:widowControl w:val="0"/>
        <w:kinsoku/>
        <w:overflowPunct/>
        <w:topLinePunct w:val="0"/>
        <w:autoSpaceDE/>
        <w:autoSpaceDN/>
        <w:bidi w:val="0"/>
        <w:snapToGrid w:val="0"/>
        <w:spacing w:line="560" w:lineRule="exact"/>
        <w:ind w:firstLine="640"/>
        <w:rPr>
          <w:rFonts w:hint="eastAsia"/>
        </w:rPr>
      </w:pPr>
      <w:r>
        <w:rPr>
          <w:rFonts w:hint="eastAsia"/>
          <w:b/>
          <w:bCs/>
        </w:rPr>
        <w:t>二是</w:t>
      </w:r>
      <w:r>
        <w:rPr>
          <w:rFonts w:hint="eastAsia"/>
        </w:rPr>
        <w:t>深耕产业会客厅，打造宣传全矩阵，开展产业链补链、市场渠道挖掘、市场拓展等线下对接活动，以及高端对话访谈、处长讲政策、工信大咖谈等节目。截至目前，《产业会客厅》已策划组织、制作完成了37期节目，重点对接了超过2000家企业，直接间接帮助企业促成了总计超过6.2亿的市场订单。</w:t>
      </w:r>
    </w:p>
    <w:p>
      <w:pPr>
        <w:pStyle w:val="17"/>
        <w:keepNext w:val="0"/>
        <w:keepLines w:val="0"/>
        <w:pageBreakBefore w:val="0"/>
        <w:widowControl w:val="0"/>
        <w:kinsoku/>
        <w:overflowPunct/>
        <w:topLinePunct w:val="0"/>
        <w:autoSpaceDE/>
        <w:autoSpaceDN/>
        <w:bidi w:val="0"/>
        <w:snapToGrid w:val="0"/>
        <w:spacing w:line="560" w:lineRule="exact"/>
        <w:ind w:firstLine="640"/>
        <w:rPr>
          <w:rFonts w:hint="eastAsia"/>
        </w:rPr>
      </w:pPr>
      <w:r>
        <w:rPr>
          <w:rFonts w:hint="eastAsia"/>
          <w:b/>
          <w:bCs/>
          <w:lang w:eastAsia="zh-CN"/>
        </w:rPr>
        <w:t>三是</w:t>
      </w:r>
      <w:r>
        <w:rPr>
          <w:rFonts w:hint="eastAsia"/>
        </w:rPr>
        <w:t>加强优质企业和产品的推介宣讲。</w:t>
      </w:r>
      <w:r>
        <w:rPr>
          <w:rFonts w:hint="eastAsia"/>
          <w:lang w:eastAsia="zh-CN"/>
        </w:rPr>
        <w:t>依托</w:t>
      </w:r>
      <w:r>
        <w:rPr>
          <w:rFonts w:hint="eastAsia"/>
        </w:rPr>
        <w:t>“深i企”平台主动推广入选我市创新产品推广应用目录的9家企业产品，在平台“供需对接”专区上线了相关企业的19款创新产品，帮企业找市场、获订单。目前，“供需对接”专区已累计上架深圳企业的3800多款产品。</w:t>
      </w:r>
      <w:r>
        <w:rPr>
          <w:rFonts w:hint="eastAsia"/>
          <w:lang w:eastAsia="zh-CN"/>
        </w:rPr>
        <w:t>积极</w:t>
      </w:r>
      <w:r>
        <w:rPr>
          <w:rFonts w:hint="eastAsia"/>
        </w:rPr>
        <w:t>推广宣传具有核心竞争力的优质企业，助力企业拓展市场。</w:t>
      </w:r>
    </w:p>
    <w:p>
      <w:pPr>
        <w:pStyle w:val="17"/>
        <w:keepNext w:val="0"/>
        <w:keepLines w:val="0"/>
        <w:pageBreakBefore w:val="0"/>
        <w:widowControl w:val="0"/>
        <w:kinsoku/>
        <w:overflowPunct/>
        <w:topLinePunct w:val="0"/>
        <w:autoSpaceDE/>
        <w:autoSpaceDN/>
        <w:bidi w:val="0"/>
        <w:snapToGrid w:val="0"/>
        <w:spacing w:line="560" w:lineRule="exact"/>
        <w:ind w:firstLine="640"/>
        <w:rPr>
          <w:rFonts w:hint="eastAsia"/>
        </w:rPr>
      </w:pPr>
      <w:r>
        <w:rPr>
          <w:rFonts w:hint="eastAsia"/>
          <w:b/>
          <w:bCs/>
          <w:lang w:eastAsia="zh-CN"/>
        </w:rPr>
        <w:t>四是</w:t>
      </w:r>
      <w:r>
        <w:rPr>
          <w:rFonts w:hint="eastAsia"/>
        </w:rPr>
        <w:t>举办专精特新“小巨人”产品SHOW，创想三维、帝迈生物、欣旺达等20家企业展示分享了核心技术、创新成果，并邀请投资机构、行业专家及知名企业代表现场赋能与资源链接。</w:t>
      </w:r>
    </w:p>
    <w:p>
      <w:pPr>
        <w:pStyle w:val="17"/>
        <w:keepNext w:val="0"/>
        <w:keepLines w:val="0"/>
        <w:pageBreakBefore w:val="0"/>
        <w:widowControl w:val="0"/>
        <w:kinsoku/>
        <w:overflowPunct/>
        <w:topLinePunct w:val="0"/>
        <w:autoSpaceDE/>
        <w:autoSpaceDN/>
        <w:bidi w:val="0"/>
        <w:snapToGrid w:val="0"/>
        <w:spacing w:line="560" w:lineRule="exact"/>
        <w:ind w:firstLine="640"/>
        <w:rPr>
          <w:rFonts w:hint="eastAsia" w:ascii="仿宋_GB2312" w:eastAsia="仿宋_GB2312"/>
          <w:sz w:val="32"/>
          <w:szCs w:val="32"/>
          <w:lang w:eastAsia="zh-CN"/>
        </w:rPr>
      </w:pPr>
      <w:r>
        <w:rPr>
          <w:rFonts w:hint="eastAsia" w:ascii="仿宋_GB2312" w:eastAsia="仿宋_GB2312"/>
          <w:sz w:val="32"/>
          <w:szCs w:val="32"/>
        </w:rPr>
        <w:t>下一步，我们将</w:t>
      </w:r>
      <w:r>
        <w:rPr>
          <w:rFonts w:hint="eastAsia"/>
          <w:sz w:val="32"/>
          <w:szCs w:val="32"/>
          <w:lang w:eastAsia="zh-CN"/>
        </w:rPr>
        <w:t>根据您的建议，持续聚焦</w:t>
      </w:r>
      <w:r>
        <w:rPr>
          <w:rFonts w:hint="eastAsia"/>
          <w:sz w:val="32"/>
          <w:szCs w:val="32"/>
          <w:lang w:val="en-US" w:eastAsia="zh-CN"/>
        </w:rPr>
        <w:t>深企向海发展</w:t>
      </w:r>
      <w:r>
        <w:rPr>
          <w:rFonts w:hint="eastAsia"/>
          <w:sz w:val="32"/>
          <w:szCs w:val="32"/>
          <w:lang w:eastAsia="zh-CN"/>
        </w:rPr>
        <w:t>需求，进一步加大政策支持力度，从多维度为深企“走出去”保驾护航，降低企业出海成本，全力推动更多</w:t>
      </w:r>
      <w:r>
        <w:rPr>
          <w:rFonts w:hint="eastAsia"/>
          <w:sz w:val="32"/>
          <w:szCs w:val="32"/>
          <w:lang w:val="en-US" w:eastAsia="zh-CN"/>
        </w:rPr>
        <w:t>深企</w:t>
      </w:r>
      <w:r>
        <w:rPr>
          <w:rFonts w:hint="eastAsia"/>
          <w:sz w:val="32"/>
          <w:szCs w:val="32"/>
          <w:lang w:eastAsia="zh-CN"/>
        </w:rPr>
        <w:t>在国际市场上提升影响力、扩大份额，实现高质量出海。</w:t>
      </w:r>
    </w:p>
    <w:p>
      <w:pPr>
        <w:pStyle w:val="17"/>
        <w:keepNext w:val="0"/>
        <w:keepLines w:val="0"/>
        <w:pageBreakBefore w:val="0"/>
        <w:widowControl w:val="0"/>
        <w:kinsoku/>
        <w:overflowPunct/>
        <w:topLinePunct w:val="0"/>
        <w:autoSpaceDE/>
        <w:autoSpaceDN/>
        <w:bidi w:val="0"/>
        <w:snapToGrid w:val="0"/>
        <w:spacing w:line="560" w:lineRule="exact"/>
        <w:ind w:firstLine="640"/>
        <w:rPr>
          <w:rFonts w:hint="eastAsia" w:ascii="仿宋_GB2312" w:eastAsia="仿宋_GB2312"/>
          <w:sz w:val="32"/>
          <w:szCs w:val="32"/>
        </w:rPr>
      </w:pPr>
      <w:r>
        <w:rPr>
          <w:rFonts w:hint="default"/>
          <w:sz w:val="32"/>
          <w:szCs w:val="32"/>
        </w:rPr>
        <w:t>专此答复，</w:t>
      </w:r>
      <w:r>
        <w:rPr>
          <w:rFonts w:hint="eastAsia" w:ascii="仿宋_GB2312" w:eastAsia="仿宋_GB2312"/>
          <w:sz w:val="32"/>
          <w:szCs w:val="32"/>
        </w:rPr>
        <w:t>感谢您对深圳企业出海工作的关注与支持！</w:t>
      </w:r>
    </w:p>
    <w:p>
      <w:pPr>
        <w:pStyle w:val="17"/>
        <w:keepNext w:val="0"/>
        <w:keepLines w:val="0"/>
        <w:pageBreakBefore w:val="0"/>
        <w:widowControl w:val="0"/>
        <w:kinsoku/>
        <w:overflowPunct/>
        <w:topLinePunct w:val="0"/>
        <w:autoSpaceDE/>
        <w:autoSpaceDN/>
        <w:bidi w:val="0"/>
        <w:snapToGrid w:val="0"/>
        <w:spacing w:line="560" w:lineRule="exact"/>
        <w:ind w:firstLine="640"/>
        <w:rPr>
          <w:rFonts w:hint="eastAsia" w:ascii="仿宋_GB2312" w:eastAsia="仿宋_GB2312"/>
          <w:sz w:val="32"/>
          <w:szCs w:val="32"/>
        </w:rPr>
      </w:pPr>
    </w:p>
    <w:p>
      <w:pPr>
        <w:pStyle w:val="17"/>
        <w:keepNext w:val="0"/>
        <w:keepLines w:val="0"/>
        <w:pageBreakBefore w:val="0"/>
        <w:widowControl w:val="0"/>
        <w:kinsoku/>
        <w:overflowPunct/>
        <w:topLinePunct w:val="0"/>
        <w:autoSpaceDE/>
        <w:autoSpaceDN/>
        <w:bidi w:val="0"/>
        <w:snapToGrid w:val="0"/>
        <w:spacing w:line="560" w:lineRule="exact"/>
        <w:ind w:firstLine="640"/>
        <w:rPr>
          <w:rFonts w:hint="eastAsia" w:ascii="仿宋_GB2312" w:eastAsia="仿宋_GB2312"/>
          <w:sz w:val="32"/>
          <w:szCs w:val="32"/>
        </w:rPr>
      </w:pPr>
    </w:p>
    <w:p>
      <w:pPr>
        <w:keepNext w:val="0"/>
        <w:keepLines w:val="0"/>
        <w:pageBreakBefore w:val="0"/>
        <w:widowControl w:val="0"/>
        <w:tabs>
          <w:tab w:val="left" w:pos="1843"/>
        </w:tabs>
        <w:kinsoku/>
        <w:wordWrap/>
        <w:overflowPunct/>
        <w:topLinePunct w:val="0"/>
        <w:autoSpaceDE/>
        <w:autoSpaceDN/>
        <w:bidi w:val="0"/>
        <w:adjustRightInd/>
        <w:snapToGrid/>
        <w:spacing w:line="560" w:lineRule="exact"/>
        <w:ind w:firstLine="645"/>
        <w:jc w:val="center"/>
        <w:textAlignment w:val="auto"/>
        <w:rPr>
          <w:rFonts w:ascii="仿宋_GB2312" w:eastAsia="仿宋_GB2312"/>
          <w:sz w:val="32"/>
          <w:szCs w:val="32"/>
        </w:rPr>
      </w:pPr>
      <w:r>
        <w:rPr>
          <w:rFonts w:hint="eastAsia" w:ascii="仿宋_GB2312" w:eastAsia="仿宋_GB2312"/>
          <w:sz w:val="32"/>
          <w:szCs w:val="32"/>
        </w:rPr>
        <w:t xml:space="preserve">                  </w:t>
      </w:r>
      <w:r>
        <w:rPr>
          <w:rFonts w:hint="default" w:ascii="仿宋_GB2312" w:eastAsia="仿宋_GB2312"/>
          <w:sz w:val="32"/>
          <w:szCs w:val="32"/>
        </w:rPr>
        <w:t xml:space="preserve">        </w:t>
      </w:r>
      <w:r>
        <w:rPr>
          <w:rFonts w:hint="eastAsia" w:ascii="仿宋_GB2312" w:eastAsia="仿宋_GB2312"/>
          <w:sz w:val="32"/>
          <w:szCs w:val="32"/>
        </w:rPr>
        <w:t xml:space="preserve">深圳市商务局  </w:t>
      </w:r>
    </w:p>
    <w:p>
      <w:pPr>
        <w:keepNext w:val="0"/>
        <w:keepLines w:val="0"/>
        <w:pageBreakBefore w:val="0"/>
        <w:widowControl w:val="0"/>
        <w:tabs>
          <w:tab w:val="left" w:pos="1843"/>
        </w:tabs>
        <w:kinsoku/>
        <w:wordWrap/>
        <w:overflowPunct/>
        <w:topLinePunct w:val="0"/>
        <w:autoSpaceDE/>
        <w:autoSpaceDN/>
        <w:bidi w:val="0"/>
        <w:adjustRightInd/>
        <w:snapToGrid/>
        <w:spacing w:line="560" w:lineRule="exact"/>
        <w:ind w:right="840" w:rightChars="400" w:firstLine="646"/>
        <w:jc w:val="right"/>
        <w:textAlignment w:val="auto"/>
        <w:rPr>
          <w:rFonts w:ascii="仿宋_GB2312" w:eastAsia="仿宋_GB2312"/>
          <w:sz w:val="32"/>
          <w:szCs w:val="32"/>
        </w:rPr>
      </w:pPr>
      <w:r>
        <w:rPr>
          <w:rFonts w:hint="eastAsia" w:ascii="仿宋_GB2312" w:eastAsia="仿宋_GB2312"/>
          <w:sz w:val="32"/>
          <w:szCs w:val="32"/>
        </w:rPr>
        <w:t xml:space="preserve">                       20</w:t>
      </w:r>
      <w:r>
        <w:rPr>
          <w:rFonts w:ascii="仿宋_GB2312" w:eastAsia="仿宋_GB2312"/>
          <w:sz w:val="32"/>
          <w:szCs w:val="32"/>
        </w:rPr>
        <w:t>2</w:t>
      </w:r>
      <w:r>
        <w:rPr>
          <w:rFonts w:hint="eastAsia" w:ascii="仿宋_GB2312" w:eastAsia="仿宋_GB2312"/>
          <w:sz w:val="32"/>
          <w:szCs w:val="32"/>
          <w:lang w:val="en-US" w:eastAsia="zh-CN"/>
        </w:rPr>
        <w:t>5</w:t>
      </w:r>
      <w:r>
        <w:rPr>
          <w:rFonts w:hint="eastAsia" w:ascii="仿宋_GB2312" w:eastAsia="仿宋_GB2312"/>
          <w:sz w:val="32"/>
          <w:szCs w:val="32"/>
        </w:rPr>
        <w:t>年</w:t>
      </w:r>
      <w:r>
        <w:rPr>
          <w:rFonts w:hint="eastAsia" w:ascii="仿宋_GB2312" w:eastAsia="仿宋_GB2312"/>
          <w:sz w:val="32"/>
          <w:szCs w:val="32"/>
          <w:lang w:val="en-US" w:eastAsia="zh-CN"/>
        </w:rPr>
        <w:t>8</w:t>
      </w:r>
      <w:r>
        <w:rPr>
          <w:rFonts w:hint="eastAsia" w:ascii="仿宋_GB2312" w:eastAsia="仿宋_GB2312"/>
          <w:sz w:val="32"/>
          <w:szCs w:val="32"/>
        </w:rPr>
        <w:t>月</w:t>
      </w:r>
      <w:r>
        <w:rPr>
          <w:rFonts w:hint="eastAsia" w:ascii="仿宋_GB2312" w:eastAsia="仿宋_GB2312"/>
          <w:sz w:val="32"/>
          <w:szCs w:val="32"/>
          <w:lang w:val="en-US" w:eastAsia="zh-CN"/>
        </w:rPr>
        <w:t>14</w:t>
      </w:r>
      <w:r>
        <w:rPr>
          <w:rFonts w:hint="eastAsia" w:ascii="仿宋_GB2312" w:eastAsia="仿宋_GB2312"/>
          <w:sz w:val="32"/>
          <w:szCs w:val="32"/>
        </w:rPr>
        <w:t>日</w:t>
      </w:r>
    </w:p>
    <w:p>
      <w:pPr>
        <w:keepNext w:val="0"/>
        <w:keepLines w:val="0"/>
        <w:pageBreakBefore w:val="0"/>
        <w:widowControl w:val="0"/>
        <w:tabs>
          <w:tab w:val="left" w:pos="1843"/>
        </w:tabs>
        <w:kinsoku/>
        <w:wordWrap/>
        <w:overflowPunct/>
        <w:topLinePunct w:val="0"/>
        <w:autoSpaceDE/>
        <w:autoSpaceDN/>
        <w:bidi w:val="0"/>
        <w:adjustRightInd/>
        <w:snapToGrid/>
        <w:spacing w:line="560" w:lineRule="exact"/>
        <w:ind w:right="640" w:firstLine="645"/>
        <w:textAlignment w:val="auto"/>
        <w:rPr>
          <w:rFonts w:hint="eastAsia" w:ascii="仿宋_GB2312" w:eastAsia="仿宋_GB2312"/>
          <w:sz w:val="32"/>
          <w:szCs w:val="32"/>
        </w:rPr>
      </w:pPr>
    </w:p>
    <w:p>
      <w:pPr>
        <w:keepNext w:val="0"/>
        <w:keepLines w:val="0"/>
        <w:pageBreakBefore w:val="0"/>
        <w:widowControl w:val="0"/>
        <w:tabs>
          <w:tab w:val="left" w:pos="1843"/>
        </w:tabs>
        <w:kinsoku/>
        <w:wordWrap/>
        <w:overflowPunct/>
        <w:topLinePunct w:val="0"/>
        <w:autoSpaceDE/>
        <w:autoSpaceDN/>
        <w:bidi w:val="0"/>
        <w:adjustRightInd/>
        <w:snapToGrid/>
        <w:spacing w:line="560" w:lineRule="exact"/>
        <w:ind w:right="640" w:firstLine="645"/>
        <w:textAlignment w:val="auto"/>
        <w:rPr>
          <w:rFonts w:hint="eastAsia" w:ascii="仿宋_GB2312" w:hAnsi="仿宋_GB2312" w:eastAsia="仿宋_GB2312" w:cs="仿宋_GB2312"/>
          <w:sz w:val="32"/>
          <w:szCs w:val="32"/>
          <w:highlight w:val="none"/>
          <w:lang w:eastAsia="zh-CN"/>
        </w:rPr>
      </w:pPr>
      <w:bookmarkStart w:id="0" w:name="_GoBack"/>
      <w:bookmarkEnd w:id="0"/>
    </w:p>
    <w:sectPr>
      <w:headerReference r:id="rId4" w:type="first"/>
      <w:headerReference r:id="rId3" w:type="default"/>
      <w:footerReference r:id="rId5" w:type="default"/>
      <w:footerReference r:id="rId6" w:type="even"/>
      <w:pgSz w:w="11906" w:h="16838"/>
      <w:pgMar w:top="1814" w:right="1474" w:bottom="1814" w:left="147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Wingdings 3"/>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楷体_GB2312">
    <w:panose1 w:val="02010609030101010101"/>
    <w:charset w:val="86"/>
    <w:family w:val="modern"/>
    <w:pitch w:val="default"/>
    <w:sig w:usb0="00000001" w:usb1="080E0000" w:usb2="00000000" w:usb3="00000000" w:csb0="00040000" w:csb1="00000000"/>
  </w:font>
  <w:font w:name="Cambria">
    <w:altName w:val="FreeSerif"/>
    <w:panose1 w:val="02040503050406030204"/>
    <w:charset w:val="00"/>
    <w:family w:val="roman"/>
    <w:pitch w:val="default"/>
    <w:sig w:usb0="00000000" w:usb1="00000000" w:usb2="02000000" w:usb3="00000000" w:csb0="2000019F" w:csb1="00000000"/>
  </w:font>
  <w:font w:name="FreeSerif">
    <w:panose1 w:val="02020603050405020304"/>
    <w:charset w:val="00"/>
    <w:family w:val="auto"/>
    <w:pitch w:val="default"/>
    <w:sig w:usb0="E59FAFFF" w:usb1="C200FDFF" w:usb2="43501B29" w:usb3="04000043" w:csb0="600101FF" w:csb1="FFFF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GB2312">
    <w:altName w:val="方正楷体_GBK"/>
    <w:panose1 w:val="00000000000000000000"/>
    <w:charset w:val="00"/>
    <w:family w:val="auto"/>
    <w:pitch w:val="default"/>
    <w:sig w:usb0="00000000" w:usb1="00000000" w:usb2="00000000" w:usb3="00000000" w:csb0="00000000"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wordWrap w:val="0"/>
      <w:jc w:val="right"/>
      <w:rPr>
        <w:rFonts w:ascii="仿宋_GB2312" w:eastAsia="仿宋_GB2312"/>
        <w:sz w:val="32"/>
        <w:szCs w:val="32"/>
      </w:rPr>
    </w:pPr>
    <w:r>
      <w:rPr>
        <w:sz w:val="32"/>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keepNext w:val="0"/>
                            <w:keepLines w:val="0"/>
                            <w:pageBreakBefore w:val="0"/>
                            <w:widowControl w:val="0"/>
                            <w:kinsoku/>
                            <w:wordWrap w:val="0"/>
                            <w:overflowPunct/>
                            <w:topLinePunct w:val="0"/>
                            <w:autoSpaceDE/>
                            <w:autoSpaceDN/>
                            <w:bidi w:val="0"/>
                            <w:adjustRightInd/>
                            <w:snapToGrid w:val="0"/>
                            <w:ind w:left="210" w:leftChars="100" w:right="210" w:rightChars="100"/>
                            <w:jc w:val="righ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lang w:val="zh-CN"/>
                            </w:rPr>
                            <w:t>8</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5"/>
                      <w:keepNext w:val="0"/>
                      <w:keepLines w:val="0"/>
                      <w:pageBreakBefore w:val="0"/>
                      <w:widowControl w:val="0"/>
                      <w:kinsoku/>
                      <w:wordWrap w:val="0"/>
                      <w:overflowPunct/>
                      <w:topLinePunct w:val="0"/>
                      <w:autoSpaceDE/>
                      <w:autoSpaceDN/>
                      <w:bidi w:val="0"/>
                      <w:adjustRightInd/>
                      <w:snapToGrid w:val="0"/>
                      <w:ind w:left="210" w:leftChars="100" w:right="210" w:rightChars="100"/>
                      <w:jc w:val="righ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lang w:val="zh-CN"/>
                      </w:rPr>
                      <w:t>8</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ascii="仿宋_GB2312" w:eastAsia="仿宋_GB2312"/>
        <w:sz w:val="32"/>
        <w:szCs w:val="32"/>
      </w:rPr>
    </w:pPr>
    <w:r>
      <w:rPr>
        <w:rFonts w:hint="eastAsia" w:ascii="仿宋_GB2312" w:eastAsia="仿宋_GB2312"/>
        <w:sz w:val="32"/>
        <w:szCs w:val="32"/>
      </w:rPr>
      <w:t xml:space="preserve">— </w:t>
    </w:r>
    <w:r>
      <w:rPr>
        <w:rFonts w:hint="eastAsia" w:ascii="仿宋_GB2312" w:eastAsia="仿宋_GB2312"/>
        <w:sz w:val="32"/>
        <w:szCs w:val="32"/>
      </w:rPr>
      <w:fldChar w:fldCharType="begin"/>
    </w:r>
    <w:r>
      <w:rPr>
        <w:rFonts w:hint="eastAsia" w:ascii="仿宋_GB2312" w:eastAsia="仿宋_GB2312"/>
        <w:sz w:val="32"/>
        <w:szCs w:val="32"/>
      </w:rPr>
      <w:instrText xml:space="preserve"> PAGE   \* MERGEFORMAT </w:instrText>
    </w:r>
    <w:r>
      <w:rPr>
        <w:rFonts w:hint="eastAsia" w:ascii="仿宋_GB2312" w:eastAsia="仿宋_GB2312"/>
        <w:sz w:val="32"/>
        <w:szCs w:val="32"/>
      </w:rPr>
      <w:fldChar w:fldCharType="separate"/>
    </w:r>
    <w:r>
      <w:rPr>
        <w:rFonts w:ascii="仿宋_GB2312" w:eastAsia="仿宋_GB2312"/>
        <w:sz w:val="32"/>
        <w:szCs w:val="32"/>
        <w:lang w:val="zh-CN"/>
      </w:rPr>
      <w:t>12</w:t>
    </w:r>
    <w:r>
      <w:rPr>
        <w:rFonts w:hint="eastAsia" w:ascii="仿宋_GB2312" w:eastAsia="仿宋_GB2312"/>
        <w:sz w:val="32"/>
        <w:szCs w:val="32"/>
      </w:rPr>
      <w:fldChar w:fldCharType="end"/>
    </w:r>
    <w:r>
      <w:rPr>
        <w:rFonts w:hint="eastAsia" w:ascii="仿宋_GB2312" w:eastAsia="仿宋_GB2312"/>
        <w:sz w:val="32"/>
        <w:szCs w:val="32"/>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0"/>
  <w:bordersDoNotSurroundFooter w:val="0"/>
  <w:documentProtection w:edit="trackedChanges"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1947CF"/>
    <w:rsid w:val="373EF876"/>
    <w:rsid w:val="37FBF762"/>
    <w:rsid w:val="4A1947CF"/>
    <w:rsid w:val="55F2E728"/>
    <w:rsid w:val="57DF10AD"/>
    <w:rsid w:val="57FD792D"/>
    <w:rsid w:val="5F5FE03B"/>
    <w:rsid w:val="6EB703D3"/>
    <w:rsid w:val="6F675DB1"/>
    <w:rsid w:val="6FECC6B3"/>
    <w:rsid w:val="73AD55EF"/>
    <w:rsid w:val="77F633DB"/>
    <w:rsid w:val="77FD3BAC"/>
    <w:rsid w:val="795F4065"/>
    <w:rsid w:val="7BAC145A"/>
    <w:rsid w:val="7CDF9A14"/>
    <w:rsid w:val="7DC9BDBF"/>
    <w:rsid w:val="7F5FFF8D"/>
    <w:rsid w:val="7FDFA2BC"/>
    <w:rsid w:val="7FFF48E0"/>
    <w:rsid w:val="8E5D1F20"/>
    <w:rsid w:val="97BF3C68"/>
    <w:rsid w:val="9FFF6879"/>
    <w:rsid w:val="B37F0789"/>
    <w:rsid w:val="BD3BBA62"/>
    <w:rsid w:val="BFDEB3FA"/>
    <w:rsid w:val="D3BF5326"/>
    <w:rsid w:val="D6659F34"/>
    <w:rsid w:val="E3FF9A13"/>
    <w:rsid w:val="EFAF1D27"/>
    <w:rsid w:val="F17FD4F8"/>
    <w:rsid w:val="FADBA6CA"/>
    <w:rsid w:val="FBF2B9AA"/>
    <w:rsid w:val="FDCEEBA1"/>
    <w:rsid w:val="FE758EA2"/>
    <w:rsid w:val="FFFF2D99"/>
    <w:rsid w:val="FFFFB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uiPriority w:val="0"/>
    <w:pPr>
      <w:ind w:firstLine="420" w:firstLineChars="200"/>
    </w:pPr>
  </w:style>
  <w:style w:type="paragraph" w:styleId="3">
    <w:name w:val="Body Text"/>
    <w:basedOn w:val="1"/>
    <w:next w:val="1"/>
    <w:qFormat/>
    <w:uiPriority w:val="0"/>
    <w:pPr>
      <w:widowControl w:val="0"/>
      <w:spacing w:line="540" w:lineRule="exact"/>
    </w:pPr>
    <w:rPr>
      <w:rFonts w:ascii="楷体_GB2312" w:hAnsi="Calibri" w:eastAsia="楷体_GB2312" w:cs="Times New Roman"/>
      <w:kern w:val="2"/>
      <w:sz w:val="32"/>
      <w:szCs w:val="20"/>
    </w:rPr>
  </w:style>
  <w:style w:type="paragraph" w:styleId="4">
    <w:name w:val="Plain Text"/>
    <w:basedOn w:val="1"/>
    <w:qFormat/>
    <w:uiPriority w:val="0"/>
    <w:rPr>
      <w:rFonts w:ascii="宋体" w:hAnsi="Courier New" w:cs="Courier New"/>
      <w:szCs w:val="21"/>
    </w:rPr>
  </w:style>
  <w:style w:type="paragraph" w:styleId="5">
    <w:name w:val="footer"/>
    <w:basedOn w:val="1"/>
    <w:qFormat/>
    <w:uiPriority w:val="0"/>
    <w:pPr>
      <w:tabs>
        <w:tab w:val="center" w:pos="4153"/>
        <w:tab w:val="right" w:pos="8306"/>
      </w:tabs>
      <w:snapToGrid w:val="0"/>
      <w:jc w:val="left"/>
    </w:pPr>
    <w:rPr>
      <w:kern w:val="0"/>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kern w:val="0"/>
      <w:sz w:val="18"/>
      <w:szCs w:val="18"/>
    </w:rPr>
  </w:style>
  <w:style w:type="paragraph" w:styleId="7">
    <w:name w:val="Subtitle"/>
    <w:basedOn w:val="1"/>
    <w:next w:val="1"/>
    <w:qFormat/>
    <w:uiPriority w:val="0"/>
    <w:pPr>
      <w:spacing w:before="240" w:after="60" w:line="312" w:lineRule="auto"/>
      <w:jc w:val="center"/>
      <w:outlineLvl w:val="1"/>
    </w:pPr>
    <w:rPr>
      <w:rFonts w:ascii="Cambria" w:hAnsi="Cambria" w:eastAsia="宋体" w:cs="Times New Roman"/>
      <w:b/>
      <w:bCs/>
      <w:kern w:val="28"/>
      <w:sz w:val="32"/>
      <w:szCs w:val="32"/>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 w:type="character" w:styleId="13">
    <w:name w:val="Emphasis"/>
    <w:basedOn w:val="11"/>
    <w:qFormat/>
    <w:uiPriority w:val="0"/>
    <w:rPr>
      <w:i/>
    </w:rPr>
  </w:style>
  <w:style w:type="paragraph" w:customStyle="1" w:styleId="14">
    <w:name w:val="_Style 1"/>
    <w:basedOn w:val="1"/>
    <w:qFormat/>
    <w:uiPriority w:val="99"/>
    <w:pPr>
      <w:ind w:firstLine="420" w:firstLineChars="200"/>
    </w:pPr>
  </w:style>
  <w:style w:type="paragraph" w:customStyle="1" w:styleId="15">
    <w:name w:val="正文 New"/>
    <w:qFormat/>
    <w:uiPriority w:val="0"/>
    <w:pPr>
      <w:widowControl w:val="0"/>
      <w:jc w:val="both"/>
    </w:pPr>
    <w:rPr>
      <w:rFonts w:ascii="Calibri" w:hAnsi="Calibri" w:eastAsia="宋体" w:cs="黑体"/>
      <w:kern w:val="2"/>
      <w:sz w:val="21"/>
      <w:szCs w:val="22"/>
      <w:lang w:val="en-US" w:eastAsia="zh-CN" w:bidi="ar-SA"/>
    </w:rPr>
  </w:style>
  <w:style w:type="paragraph" w:customStyle="1" w:styleId="16">
    <w:name w:val="表格文字"/>
    <w:basedOn w:val="1"/>
    <w:qFormat/>
    <w:uiPriority w:val="0"/>
    <w:pPr>
      <w:spacing w:before="25" w:after="25"/>
      <w:jc w:val="left"/>
    </w:pPr>
    <w:rPr>
      <w:bCs/>
      <w:spacing w:val="10"/>
      <w:kern w:val="0"/>
      <w:sz w:val="24"/>
      <w:szCs w:val="20"/>
    </w:rPr>
  </w:style>
  <w:style w:type="paragraph" w:customStyle="1" w:styleId="17">
    <w:name w:val="文件正文"/>
    <w:basedOn w:val="7"/>
    <w:qFormat/>
    <w:uiPriority w:val="2"/>
    <w:pPr>
      <w:spacing w:before="0" w:after="0" w:line="560" w:lineRule="exact"/>
      <w:ind w:firstLine="622" w:firstLineChars="200"/>
      <w:jc w:val="both"/>
      <w:outlineLvl w:val="9"/>
    </w:pPr>
    <w:rPr>
      <w:rFonts w:ascii="仿宋_GB2312" w:hAnsi="仿宋_GB2312" w:eastAsia="仿宋_GB2312" w:cs="仿宋_GB2312"/>
      <w:b w:val="0"/>
      <w:bCs w:val="0"/>
      <w:kern w:val="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Office_11.8.2.11958_F1E327BC-269C-435d-A152-05C5408002CA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2022-08-09T09:03:00Z</dcterms:created>
  <dc:creator>禾禾</dc:creator>
  <cp:lastModifiedBy>文件收发（黄俊源）</cp:lastModifiedBy>
  <cp:lastPrinted>2022-08-12T03:42:00Z</cp:lastPrinted>
  <dcterms:modified xsi:type="dcterms:W3CDTF">2025-11-04T16:15:43Z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2052-11.8.2.11958</vt:lpwstr>
  </property>
  <property fmtid="{D5CDD505-2E9C-101B-9397-08002B2CF9AE}" pid="3" name="ICV">
    <vt:lpwstr>EA8CB2DF3F0EB7218F049B68E97AE815</vt:lpwstr>
  </property>
</Properties>
</file>