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深圳市商务局关于对市政协七届五次会议</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第20250</w:t>
      </w:r>
      <w:r>
        <w:rPr>
          <w:rFonts w:hint="eastAsia" w:ascii="方正小标宋_GBK" w:hAnsi="方正小标宋_GBK" w:eastAsia="方正小标宋_GBK" w:cs="方正小标宋_GBK"/>
          <w:sz w:val="44"/>
          <w:szCs w:val="44"/>
          <w:lang w:val="en-US" w:eastAsia="zh-CN"/>
        </w:rPr>
        <w:t>276</w:t>
      </w:r>
      <w:r>
        <w:rPr>
          <w:rFonts w:hint="eastAsia" w:ascii="方正小标宋_GBK" w:hAnsi="方正小标宋_GBK" w:eastAsia="方正小标宋_GBK" w:cs="方正小标宋_GBK"/>
          <w:sz w:val="44"/>
          <w:szCs w:val="44"/>
        </w:rPr>
        <w:t>号提案答复意见的函</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方正小标宋_GBK" w:hAnsi="方正小标宋_GBK"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尊敬的陈钦鹏委员：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您</w:t>
      </w:r>
      <w:r>
        <w:rPr>
          <w:rFonts w:hint="default" w:ascii="仿宋_GB2312" w:hAnsi="仿宋_GB2312" w:eastAsia="仿宋_GB2312" w:cs="仿宋_GB2312"/>
          <w:sz w:val="32"/>
          <w:szCs w:val="32"/>
          <w:lang w:eastAsia="zh-CN"/>
        </w:rPr>
        <w:t>提出的第20250</w:t>
      </w:r>
      <w:r>
        <w:rPr>
          <w:rFonts w:hint="eastAsia" w:ascii="仿宋_GB2312" w:hAnsi="仿宋_GB2312" w:eastAsia="仿宋_GB2312" w:cs="仿宋_GB2312"/>
          <w:sz w:val="32"/>
          <w:szCs w:val="32"/>
          <w:lang w:val="en-US" w:eastAsia="zh-CN"/>
        </w:rPr>
        <w:t>276</w:t>
      </w:r>
      <w:r>
        <w:rPr>
          <w:rFonts w:hint="default" w:ascii="仿宋_GB2312" w:hAnsi="仿宋_GB2312" w:eastAsia="仿宋_GB2312" w:cs="仿宋_GB2312"/>
          <w:sz w:val="32"/>
          <w:szCs w:val="32"/>
          <w:lang w:eastAsia="zh-CN"/>
        </w:rPr>
        <w:t>号</w:t>
      </w:r>
      <w:r>
        <w:rPr>
          <w:rFonts w:hint="eastAsia" w:ascii="仿宋_GB2312" w:hAnsi="仿宋_GB2312" w:eastAsia="仿宋_GB2312" w:cs="仿宋_GB2312"/>
          <w:sz w:val="32"/>
          <w:szCs w:val="32"/>
          <w:lang w:val="en-US" w:eastAsia="zh-CN"/>
        </w:rPr>
        <w:t>《关于加大扶持深圳跨境电商的提案》收悉，</w:t>
      </w:r>
      <w:r>
        <w:rPr>
          <w:rFonts w:hint="eastAsia" w:ascii="仿宋_GB2312" w:hAnsi="仿宋_GB2312" w:eastAsia="仿宋_GB2312" w:cs="仿宋_GB2312"/>
          <w:sz w:val="32"/>
          <w:szCs w:val="32"/>
        </w:rPr>
        <w:t>非常</w:t>
      </w:r>
      <w:r>
        <w:rPr>
          <w:rFonts w:hint="eastAsia" w:ascii="仿宋_GB2312" w:hAnsi="仿宋_GB2312" w:eastAsia="仿宋_GB2312" w:cs="仿宋_GB2312"/>
          <w:sz w:val="32"/>
          <w:szCs w:val="32"/>
          <w:lang w:eastAsia="zh-CN"/>
        </w:rPr>
        <w:t>感谢</w:t>
      </w:r>
      <w:r>
        <w:rPr>
          <w:rFonts w:hint="eastAsia" w:ascii="仿宋_GB2312" w:hAnsi="仿宋_GB2312" w:eastAsia="仿宋_GB2312" w:cs="仿宋_GB2312"/>
          <w:sz w:val="32"/>
          <w:szCs w:val="32"/>
          <w:lang w:val="en-US" w:eastAsia="zh-CN"/>
        </w:rPr>
        <w:t>您</w:t>
      </w:r>
      <w:r>
        <w:rPr>
          <w:rFonts w:hint="eastAsia" w:ascii="仿宋_GB2312" w:hAnsi="仿宋_GB2312" w:eastAsia="仿宋_GB2312" w:cs="仿宋_GB2312"/>
          <w:sz w:val="32"/>
          <w:szCs w:val="32"/>
        </w:rPr>
        <w:t>对深圳跨境电商产业发展的关心与支持。我局高度重视贵单位的提案建议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经认真研究，现就提案办理有关情况答复如下：</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left="0" w:firstLine="640" w:firstLineChars="200"/>
        <w:textAlignment w:val="auto"/>
        <w:rPr>
          <w:rFonts w:hint="eastAsia" w:ascii="黑体" w:hAnsi="黑体" w:eastAsia="黑体" w:cs="黑体"/>
          <w:sz w:val="32"/>
          <w:szCs w:val="32"/>
        </w:rPr>
      </w:pPr>
      <w:r>
        <w:rPr>
          <w:rFonts w:hint="default" w:ascii="黑体" w:hAnsi="黑体" w:eastAsia="黑体" w:cs="黑体"/>
          <w:sz w:val="32"/>
          <w:szCs w:val="32"/>
        </w:rPr>
        <w:t>一、</w:t>
      </w:r>
      <w:r>
        <w:rPr>
          <w:rFonts w:hint="eastAsia" w:ascii="黑体" w:hAnsi="黑体" w:eastAsia="黑体" w:cs="黑体"/>
          <w:sz w:val="32"/>
          <w:szCs w:val="32"/>
        </w:rPr>
        <w:t>关于</w:t>
      </w:r>
      <w:r>
        <w:rPr>
          <w:rFonts w:hint="eastAsia" w:ascii="黑体" w:hAnsi="黑体" w:eastAsia="黑体" w:cs="黑体"/>
          <w:sz w:val="32"/>
          <w:szCs w:val="32"/>
        </w:rPr>
        <w:t>“建立跨境电商企业成长档案和画像”的建议，答复如下：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sz w:val="32"/>
          <w:szCs w:val="32"/>
        </w:rPr>
        <w:t>我市</w:t>
      </w:r>
      <w:r>
        <w:rPr>
          <w:rFonts w:hint="eastAsia" w:ascii="仿宋_GB2312" w:hAnsi="仿宋_GB2312" w:eastAsia="仿宋_GB2312" w:cs="仿宋_GB2312"/>
          <w:sz w:val="32"/>
          <w:szCs w:val="32"/>
        </w:rPr>
        <w:t>高度重视企业成长档案的建设工作，</w:t>
      </w:r>
      <w:r>
        <w:rPr>
          <w:rFonts w:hint="default" w:ascii="仿宋_GB2312" w:hAnsi="仿宋_GB2312" w:eastAsia="仿宋_GB2312" w:cs="仿宋_GB2312"/>
          <w:b w:val="0"/>
          <w:bCs w:val="0"/>
          <w:sz w:val="32"/>
          <w:szCs w:val="32"/>
        </w:rPr>
        <w:t>紧密联系企业、动态跟踪行业，</w:t>
      </w:r>
      <w:r>
        <w:rPr>
          <w:rFonts w:hint="eastAsia" w:ascii="仿宋_GB2312" w:hAnsi="仿宋_GB2312" w:eastAsia="仿宋_GB2312" w:cs="仿宋_GB2312"/>
          <w:sz w:val="32"/>
          <w:szCs w:val="32"/>
        </w:rPr>
        <w:t>稳步推</w:t>
      </w:r>
      <w:r>
        <w:rPr>
          <w:rFonts w:hint="default" w:ascii="仿宋_GB2312" w:hAnsi="仿宋_GB2312" w:eastAsia="仿宋_GB2312" w:cs="仿宋_GB2312"/>
          <w:sz w:val="32"/>
          <w:szCs w:val="32"/>
          <w:lang w:val="en-US"/>
        </w:rPr>
        <w:t>出一系列</w:t>
      </w:r>
      <w:r>
        <w:rPr>
          <w:rFonts w:hint="eastAsia" w:ascii="仿宋_GB2312" w:hAnsi="仿宋_GB2312" w:eastAsia="仿宋_GB2312" w:cs="仿宋_GB2312"/>
          <w:sz w:val="32"/>
          <w:szCs w:val="32"/>
        </w:rPr>
        <w:t>精细化服务举措</w:t>
      </w:r>
      <w:r>
        <w:rPr>
          <w:rFonts w:hint="default" w:ascii="仿宋_GB2312" w:hAnsi="仿宋_GB2312" w:eastAsia="仿宋_GB2312" w:cs="仿宋_GB2312"/>
          <w:b w:val="0"/>
          <w:bCs w:val="0"/>
          <w:sz w:val="32"/>
          <w:szCs w:val="32"/>
        </w:rPr>
        <w:t>。</w:t>
      </w:r>
      <w:r>
        <w:rPr>
          <w:rFonts w:hint="eastAsia" w:ascii="仿宋_GB2312" w:hAnsi="仿宋_GB2312" w:eastAsia="仿宋_GB2312" w:cs="仿宋_GB2312"/>
          <w:b/>
          <w:bCs/>
          <w:sz w:val="32"/>
          <w:szCs w:val="32"/>
          <w:lang w:val="en-US" w:eastAsia="zh-CN"/>
        </w:rPr>
        <w:t>一方面</w:t>
      </w:r>
      <w:r>
        <w:rPr>
          <w:rFonts w:hint="eastAsia" w:ascii="仿宋_GB2312" w:hAnsi="仿宋_GB2312" w:eastAsia="仿宋_GB2312" w:cs="仿宋_GB2312"/>
          <w:sz w:val="32"/>
          <w:szCs w:val="32"/>
          <w:lang w:val="en-US" w:eastAsia="zh-CN"/>
        </w:rPr>
        <w:t>，依托国际“单一窗口”和深圳跨境电商线上综合服务平台，</w:t>
      </w:r>
      <w:r>
        <w:rPr>
          <w:rFonts w:hint="default" w:ascii="仿宋_GB2312" w:hAnsi="仿宋_GB2312" w:eastAsia="仿宋_GB2312" w:cs="仿宋_GB2312"/>
          <w:sz w:val="32"/>
          <w:szCs w:val="32"/>
          <w:lang w:eastAsia="zh-CN"/>
        </w:rPr>
        <w:t>市商务局</w:t>
      </w:r>
      <w:r>
        <w:rPr>
          <w:rFonts w:hint="eastAsia" w:ascii="仿宋_GB2312" w:hAnsi="仿宋_GB2312" w:eastAsia="仿宋_GB2312" w:cs="仿宋_GB2312"/>
          <w:sz w:val="32"/>
          <w:szCs w:val="32"/>
          <w:lang w:val="en-US" w:eastAsia="zh-CN"/>
        </w:rPr>
        <w:t>目前已归集全市超万家跨境电商企业的海关报关、企业规模、主要进出口品类等核心数据，初步形成企业基础底账。基于企业规模以及业务模式，将企业分为平台型、贸易型、供应链服务企业等类型，根据各类型企业特点研究制定配套产业扶持政策，实现企业分层管理，推动跨境电商全产业链提档升级。</w:t>
      </w:r>
      <w:r>
        <w:rPr>
          <w:rFonts w:hint="eastAsia" w:ascii="仿宋_GB2312" w:hAnsi="仿宋_GB2312" w:eastAsia="仿宋_GB2312" w:cs="仿宋_GB2312"/>
          <w:b/>
          <w:bCs/>
          <w:sz w:val="32"/>
          <w:szCs w:val="32"/>
          <w:lang w:val="en-US" w:eastAsia="zh-CN"/>
        </w:rPr>
        <w:t>另一方面</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eastAsia="zh-CN"/>
        </w:rPr>
        <w:t>根据职责分工，市商务局在日常工作中</w:t>
      </w:r>
      <w:r>
        <w:rPr>
          <w:rFonts w:hint="eastAsia" w:ascii="仿宋_GB2312" w:hAnsi="仿宋_GB2312" w:eastAsia="仿宋_GB2312" w:cs="仿宋_GB2312"/>
          <w:sz w:val="32"/>
          <w:szCs w:val="32"/>
          <w:lang w:val="en-US" w:eastAsia="zh-CN"/>
        </w:rPr>
        <w:t>密切联系重点平台和重点企业，通过座谈会、实地走访、问卷调查以及挂点服务等方式，深入调研企业发展情况、行业发展动态趋势以及企业需求，为政策制定和服务优化提供有力支撑，</w:t>
      </w:r>
      <w:r>
        <w:rPr>
          <w:rFonts w:hint="default" w:ascii="仿宋_GB2312" w:hAnsi="仿宋_GB2312" w:eastAsia="仿宋_GB2312" w:cs="仿宋_GB2312"/>
          <w:sz w:val="32"/>
          <w:szCs w:val="32"/>
          <w:lang w:eastAsia="zh-CN"/>
        </w:rPr>
        <w:t>激发</w:t>
      </w:r>
      <w:r>
        <w:rPr>
          <w:rFonts w:hint="eastAsia" w:ascii="仿宋_GB2312" w:hAnsi="仿宋_GB2312" w:eastAsia="仿宋_GB2312" w:cs="仿宋_GB2312"/>
          <w:sz w:val="32"/>
          <w:szCs w:val="32"/>
          <w:lang w:val="en-US" w:eastAsia="zh-CN"/>
        </w:rPr>
        <w:t>企业发展</w:t>
      </w:r>
      <w:r>
        <w:rPr>
          <w:rFonts w:hint="default" w:ascii="仿宋_GB2312" w:hAnsi="仿宋_GB2312" w:eastAsia="仿宋_GB2312" w:cs="仿宋_GB2312"/>
          <w:sz w:val="32"/>
          <w:szCs w:val="32"/>
          <w:lang w:eastAsia="zh-CN"/>
        </w:rPr>
        <w:t>活力</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二、关于</w:t>
      </w:r>
      <w:r>
        <w:rPr>
          <w:rFonts w:hint="eastAsia" w:ascii="黑体" w:hAnsi="黑体" w:eastAsia="黑体" w:cs="黑体"/>
          <w:kern w:val="2"/>
          <w:sz w:val="32"/>
          <w:szCs w:val="32"/>
          <w:lang w:eastAsia="zh-CN" w:bidi="ar-SA"/>
        </w:rPr>
        <w:t>“</w:t>
      </w:r>
      <w:r>
        <w:rPr>
          <w:rFonts w:hint="eastAsia" w:ascii="黑体" w:hAnsi="黑体" w:eastAsia="黑体" w:cs="黑体"/>
          <w:kern w:val="2"/>
          <w:sz w:val="32"/>
          <w:szCs w:val="32"/>
          <w:lang w:val="en-US" w:eastAsia="zh-CN" w:bidi="ar-SA"/>
        </w:rPr>
        <w:t>尽快量化《深圳市关于推动电子商务加快发展的若干措施的通知》等政策中‘鼓励’、‘支持’相关政策的措施量</w:t>
      </w:r>
      <w:r>
        <w:rPr>
          <w:rFonts w:hint="eastAsia" w:ascii="黑体" w:hAnsi="黑体" w:eastAsia="黑体" w:cs="黑体"/>
          <w:sz w:val="32"/>
          <w:szCs w:val="32"/>
        </w:rPr>
        <w:t>”的建议，答复如下：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eastAsia="zh-CN"/>
        </w:rPr>
      </w:pPr>
      <w:r>
        <w:rPr>
          <w:rFonts w:hint="default" w:ascii="仿宋_GB2312" w:hAnsi="仿宋_GB2312" w:eastAsia="仿宋_GB2312" w:cs="仿宋_GB2312"/>
          <w:sz w:val="32"/>
          <w:szCs w:val="32"/>
          <w:lang w:eastAsia="zh-CN"/>
        </w:rPr>
        <w:t>围绕</w:t>
      </w:r>
      <w:r>
        <w:rPr>
          <w:rFonts w:hint="default" w:ascii="仿宋_GB2312" w:hAnsi="仿宋_GB2312" w:eastAsia="仿宋_GB2312" w:cs="仿宋_GB2312"/>
          <w:kern w:val="2"/>
          <w:sz w:val="32"/>
          <w:szCs w:val="32"/>
          <w:lang w:val="en-US" w:eastAsia="zh-CN" w:bidi="ar-SA"/>
        </w:rPr>
        <w:t>《深圳市关于推动电子商务加快发展的若干措施》</w:t>
      </w:r>
      <w:r>
        <w:rPr>
          <w:rFonts w:hint="default" w:ascii="仿宋_GB2312" w:hAnsi="仿宋_GB2312" w:eastAsia="仿宋_GB2312" w:cs="仿宋_GB2312"/>
          <w:kern w:val="2"/>
          <w:sz w:val="32"/>
          <w:szCs w:val="32"/>
          <w:lang w:eastAsia="zh-CN" w:bidi="ar-SA"/>
        </w:rPr>
        <w:t>，</w:t>
      </w:r>
      <w:r>
        <w:rPr>
          <w:rFonts w:hint="default" w:ascii="仿宋_GB2312" w:hAnsi="仿宋_GB2312" w:eastAsia="仿宋_GB2312" w:cs="仿宋_GB2312"/>
          <w:sz w:val="32"/>
          <w:szCs w:val="32"/>
          <w:lang w:eastAsia="zh-CN"/>
        </w:rPr>
        <w:t>市商务局稳步推进政策落实</w:t>
      </w:r>
      <w:r>
        <w:rPr>
          <w:rFonts w:hint="default" w:ascii="仿宋_GB2312" w:hAnsi="仿宋_GB2312" w:eastAsia="仿宋_GB2312" w:cs="仿宋_GB2312"/>
          <w:sz w:val="32"/>
          <w:szCs w:val="32"/>
          <w:lang w:val="en-US" w:eastAsia="zh-CN"/>
        </w:rPr>
        <w:t>落地</w:t>
      </w:r>
      <w:r>
        <w:rPr>
          <w:rFonts w:hint="default" w:ascii="仿宋_GB2312" w:hAnsi="仿宋_GB2312" w:eastAsia="仿宋_GB2312" w:cs="仿宋_GB2312"/>
          <w:sz w:val="32"/>
          <w:szCs w:val="32"/>
          <w:lang w:eastAsia="zh-CN"/>
        </w:rPr>
        <w:t>，于2025年7月印发实施《〈深圳市关于推动电子商务加快发展的若干措施〉实施细则》，设置电商平台营收增长奖励项目、网络零售纳统奖励项目、网络零售大额增长奖励项目等，结合每一个奖励项目的具体奖励条件和标准，设置了不同的量化奖励，</w:t>
      </w:r>
      <w:r>
        <w:rPr>
          <w:rFonts w:hint="eastAsia" w:ascii="仿宋_GB2312" w:hAnsi="仿宋_GB2312" w:eastAsia="仿宋_GB2312" w:cs="仿宋_GB2312"/>
          <w:sz w:val="32"/>
          <w:szCs w:val="32"/>
          <w:lang w:val="en-US" w:eastAsia="zh-CN"/>
        </w:rPr>
        <w:t>精准</w:t>
      </w:r>
      <w:r>
        <w:rPr>
          <w:rFonts w:hint="default" w:ascii="仿宋_GB2312" w:hAnsi="仿宋_GB2312" w:eastAsia="仿宋_GB2312" w:cs="仿宋_GB2312"/>
          <w:sz w:val="32"/>
          <w:szCs w:val="32"/>
          <w:lang w:eastAsia="zh-CN"/>
        </w:rPr>
        <w:t>施策。相关细则通过市商务局官方网站对外发布。市商务局将结合电子商务大讲堂、系列促消费活动等广泛开展政策宣讲，不断提升公众对政策的知晓度。</w:t>
      </w:r>
    </w:p>
    <w:p>
      <w:pPr>
        <w:pStyle w:val="10"/>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三、关于“引入并深度利用DeepSeek等AI系统推动企业用好用尽政策优惠”的建议，答复如下：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sz w:val="32"/>
          <w:szCs w:val="32"/>
          <w:lang w:eastAsia="zh-CN"/>
        </w:rPr>
        <w:t>为推动企业用好用</w:t>
      </w:r>
      <w:r>
        <w:rPr>
          <w:rFonts w:hint="default" w:ascii="仿宋_GB2312" w:hAnsi="仿宋_GB2312" w:eastAsia="仿宋_GB2312" w:cs="仿宋_GB2312"/>
          <w:b w:val="0"/>
          <w:bCs w:val="0"/>
          <w:sz w:val="32"/>
          <w:szCs w:val="32"/>
          <w:lang w:val="en-US" w:eastAsia="zh-CN"/>
        </w:rPr>
        <w:t>足</w:t>
      </w:r>
      <w:r>
        <w:rPr>
          <w:rFonts w:hint="default" w:ascii="仿宋_GB2312" w:hAnsi="仿宋_GB2312" w:eastAsia="仿宋_GB2312" w:cs="仿宋_GB2312"/>
          <w:b w:val="0"/>
          <w:bCs w:val="0"/>
          <w:sz w:val="32"/>
          <w:szCs w:val="32"/>
          <w:lang w:eastAsia="zh-CN"/>
        </w:rPr>
        <w:t>我市跨境电惠企政策，市商务局</w:t>
      </w:r>
      <w:r>
        <w:rPr>
          <w:rFonts w:hint="default" w:ascii="仿宋_GB2312" w:hAnsi="仿宋_GB2312" w:eastAsia="仿宋_GB2312" w:cs="仿宋_GB2312"/>
          <w:sz w:val="32"/>
          <w:szCs w:val="32"/>
        </w:rPr>
        <w:t>通过线上线下多渠道以及多元协作机制深化政策传导效能。</w:t>
      </w:r>
      <w:r>
        <w:rPr>
          <w:rFonts w:hint="eastAsia" w:ascii="仿宋_GB2312" w:hAnsi="仿宋_GB2312" w:eastAsia="仿宋_GB2312" w:cs="仿宋_GB2312"/>
          <w:b/>
          <w:bCs/>
          <w:sz w:val="32"/>
          <w:szCs w:val="32"/>
          <w:lang w:val="en-US" w:eastAsia="zh-CN"/>
        </w:rPr>
        <w:t>一是市、区、街三级联动，组织跨境电商各类政策宣讲。</w:t>
      </w:r>
      <w:r>
        <w:rPr>
          <w:rFonts w:hint="eastAsia" w:ascii="仿宋_GB2312" w:hAnsi="仿宋_GB2312" w:eastAsia="仿宋_GB2312" w:cs="仿宋_GB2312"/>
          <w:sz w:val="32"/>
          <w:szCs w:val="32"/>
          <w:lang w:val="en-US" w:eastAsia="zh-CN"/>
        </w:rPr>
        <w:t>2025年以来，市商务局联合深圳十个行政区以及各街道办先后召开多场跨境电商企业座谈会，协同属地海关、各区税务局、贸促会、银行等单位举办“外贸政策宣讲月”等活动，强化政策导向，引导企业科学、规范、健康发展。截至上半年，已累计举办30余场阳光化政策宣贯活动，累计参与人次超2500人。</w:t>
      </w:r>
      <w:r>
        <w:rPr>
          <w:rFonts w:hint="eastAsia" w:ascii="仿宋_GB2312" w:hAnsi="仿宋_GB2312" w:eastAsia="仿宋_GB2312" w:cs="仿宋_GB2312"/>
          <w:b/>
          <w:bCs/>
          <w:sz w:val="32"/>
          <w:szCs w:val="32"/>
          <w:lang w:val="en-US" w:eastAsia="zh-CN"/>
        </w:rPr>
        <w:t>二是“政企银园平”多主体联动，拓宽政策宣传渠道。</w:t>
      </w:r>
      <w:r>
        <w:rPr>
          <w:rFonts w:hint="eastAsia" w:ascii="仿宋_GB2312" w:hAnsi="仿宋_GB2312" w:eastAsia="仿宋_GB2312" w:cs="仿宋_GB2312"/>
          <w:b w:val="0"/>
          <w:bCs w:val="0"/>
          <w:sz w:val="32"/>
          <w:szCs w:val="32"/>
          <w:lang w:val="en-US" w:eastAsia="zh-CN"/>
        </w:rPr>
        <w:t>市商务局联动重点平台、重点企业、园区以及银行</w:t>
      </w:r>
      <w:r>
        <w:rPr>
          <w:rFonts w:hint="eastAsia" w:ascii="仿宋_GB2312" w:hAnsi="仿宋_GB2312" w:eastAsia="仿宋_GB2312" w:cs="仿宋_GB2312"/>
          <w:sz w:val="32"/>
          <w:szCs w:val="32"/>
          <w:lang w:val="en-US" w:eastAsia="zh-CN"/>
        </w:rPr>
        <w:t>等各类行业主体，将政策内容融入跨境电商生产经营场景进行深度宣贯、解读，依托行业集中管理优势，组织专场宣讲会、搭建政策咨询渠道，深入业务现场，扩大政策宣传覆盖面。多方协同搭建“线上+线下”立体化宣传矩阵，通过市商务局、园区、企业等公众号，让跨境电商政策精准触达跨境电商企业，切实提升政策知晓率与落地效能。</w:t>
      </w:r>
    </w:p>
    <w:p>
      <w:pPr>
        <w:pStyle w:val="10"/>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四、关于“关于海外不确定性贸易战应对预案”的建议，答复如下：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rPr>
        <w:t>面对国际贸易摩擦加剧</w:t>
      </w:r>
      <w:r>
        <w:rPr>
          <w:rFonts w:hint="default" w:ascii="仿宋_GB2312" w:hAnsi="仿宋_GB2312" w:eastAsia="仿宋_GB2312" w:cs="仿宋_GB2312"/>
          <w:sz w:val="32"/>
          <w:szCs w:val="32"/>
          <w:lang w:val="en-US"/>
        </w:rPr>
        <w:t>、</w:t>
      </w:r>
      <w:r>
        <w:rPr>
          <w:rFonts w:hint="default" w:ascii="仿宋_GB2312" w:hAnsi="仿宋_GB2312" w:eastAsia="仿宋_GB2312" w:cs="仿宋_GB2312"/>
          <w:sz w:val="32"/>
          <w:szCs w:val="32"/>
        </w:rPr>
        <w:t>海外重点市场关税</w:t>
      </w:r>
      <w:r>
        <w:rPr>
          <w:rFonts w:hint="default" w:ascii="仿宋_GB2312" w:hAnsi="仿宋_GB2312" w:eastAsia="仿宋_GB2312" w:cs="仿宋_GB2312"/>
          <w:sz w:val="32"/>
          <w:szCs w:val="32"/>
          <w:lang w:val="en-US"/>
        </w:rPr>
        <w:t>政策</w:t>
      </w:r>
      <w:r>
        <w:rPr>
          <w:rFonts w:hint="default" w:ascii="仿宋_GB2312" w:hAnsi="仿宋_GB2312" w:eastAsia="仿宋_GB2312" w:cs="仿宋_GB2312"/>
          <w:sz w:val="32"/>
          <w:szCs w:val="32"/>
        </w:rPr>
        <w:t>升级与贸易政策</w:t>
      </w:r>
      <w:r>
        <w:rPr>
          <w:rFonts w:hint="eastAsia" w:ascii="仿宋_GB2312" w:hAnsi="仿宋_GB2312" w:eastAsia="仿宋_GB2312" w:cs="仿宋_GB2312"/>
          <w:sz w:val="32"/>
          <w:szCs w:val="32"/>
        </w:rPr>
        <w:t>不确定性</w:t>
      </w:r>
      <w:r>
        <w:rPr>
          <w:rFonts w:hint="default" w:ascii="仿宋_GB2312" w:hAnsi="仿宋_GB2312" w:eastAsia="仿宋_GB2312" w:cs="仿宋_GB2312"/>
          <w:sz w:val="32"/>
          <w:szCs w:val="32"/>
          <w:lang w:val="en-US"/>
        </w:rPr>
        <w:t>不断</w:t>
      </w:r>
      <w:r>
        <w:rPr>
          <w:rFonts w:hint="default" w:ascii="仿宋_GB2312" w:hAnsi="仿宋_GB2312" w:eastAsia="仿宋_GB2312" w:cs="仿宋_GB2312"/>
          <w:sz w:val="32"/>
          <w:szCs w:val="32"/>
        </w:rPr>
        <w:t>增加，市商务局早谋划、早部署、早行动，强化企业合规指导、政策支撑，积极应对产业转型。</w:t>
      </w:r>
      <w:r>
        <w:rPr>
          <w:rFonts w:hint="eastAsia" w:ascii="仿宋_GB2312" w:hAnsi="仿宋_GB2312" w:eastAsia="仿宋_GB2312" w:cs="仿宋_GB2312"/>
          <w:b/>
          <w:bCs/>
          <w:sz w:val="32"/>
          <w:szCs w:val="32"/>
          <w:lang w:val="en-US" w:eastAsia="zh-CN"/>
        </w:rPr>
        <w:t>一是构建风险防控体系。</w:t>
      </w:r>
      <w:r>
        <w:rPr>
          <w:rFonts w:hint="eastAsia" w:ascii="仿宋_GB2312" w:hAnsi="仿宋_GB2312" w:eastAsia="仿宋_GB2312" w:cs="仿宋_GB2312"/>
          <w:sz w:val="32"/>
          <w:szCs w:val="32"/>
          <w:lang w:val="en-US" w:eastAsia="zh-CN"/>
        </w:rPr>
        <w:t>我局依托深圳市跨境电线上综合服务平台，已初步构建风险防控体系。结合深圳市跨境电商企业海外经营过程中遇到的风险问题，重点对海外市场风险、合规要求以及国际贸易政策等进行动态研究分析，定期在线上综合服务平台发布资讯、风险预警、原因分析以及应对建议等信息，并对重点企业合规经营等方面提供培训指导，提高企业对国际规则的认知和风险抵御能力。今年以来，针对重点市场海外不确定性贸易政策，我局多次召集跨境电商代表企业座谈，及时了解企业面临的困难以及迫切需求，为应对国际贸易摩擦做好调研基础。</w:t>
      </w:r>
    </w:p>
    <w:p>
      <w:pPr>
        <w:keepNext w:val="0"/>
        <w:keepLines w:val="0"/>
        <w:pageBreakBefore w:val="0"/>
        <w:widowControl w:val="0"/>
        <w:kinsoku/>
        <w:wordWrap/>
        <w:overflowPunct/>
        <w:topLinePunct w:val="0"/>
        <w:autoSpaceDE/>
        <w:autoSpaceDN/>
        <w:bidi w:val="0"/>
        <w:adjustRightInd/>
        <w:snapToGrid/>
        <w:spacing w:line="520" w:lineRule="exact"/>
        <w:ind w:firstLine="642"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二是及时调整产业政策方向和执行周期。</w:t>
      </w:r>
      <w:r>
        <w:rPr>
          <w:rFonts w:hint="eastAsia" w:ascii="仿宋_GB2312" w:hAnsi="仿宋_GB2312" w:eastAsia="仿宋_GB2312" w:cs="仿宋_GB2312"/>
          <w:b w:val="0"/>
          <w:bCs w:val="0"/>
          <w:sz w:val="32"/>
          <w:szCs w:val="32"/>
          <w:lang w:val="en-US" w:eastAsia="zh-CN"/>
        </w:rPr>
        <w:t>针对美国关税政策不确定性加剧及T86小额包裹免税政策取消等挑战，市商务局快速响应，针对性推出中央资金海外仓资助与集货仓项目，通过补贴仓储费用、物流费用等方式，切实对冲因政策变动引发的物流成本上升。项目执行周期大幅压缩至月或季度，以高频次、短周期政策红利精准纾困，</w:t>
      </w:r>
      <w:r>
        <w:rPr>
          <w:rFonts w:hint="eastAsia" w:ascii="仿宋_GB2312" w:hAnsi="仿宋_GB2312" w:eastAsia="仿宋_GB2312" w:cs="仿宋_GB2312"/>
          <w:sz w:val="32"/>
          <w:szCs w:val="32"/>
          <w:lang w:val="en-US" w:eastAsia="zh-CN"/>
        </w:rPr>
        <w:t>激发跨境电商行业活力，</w:t>
      </w:r>
      <w:r>
        <w:rPr>
          <w:rFonts w:hint="eastAsia" w:ascii="仿宋_GB2312" w:hAnsi="仿宋_GB2312" w:eastAsia="仿宋_GB2312" w:cs="仿宋_GB2312"/>
          <w:b w:val="0"/>
          <w:bCs w:val="0"/>
          <w:sz w:val="32"/>
          <w:szCs w:val="32"/>
          <w:lang w:val="en-US" w:eastAsia="zh-CN"/>
        </w:rPr>
        <w:t>稳定跨境电商行业发展预期。</w:t>
      </w:r>
    </w:p>
    <w:p>
      <w:pPr>
        <w:pStyle w:val="10"/>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rPr>
        <w:t>关于“</w:t>
      </w:r>
      <w:r>
        <w:rPr>
          <w:rFonts w:hint="eastAsia" w:ascii="黑体" w:hAnsi="黑体" w:eastAsia="黑体" w:cs="黑体"/>
          <w:sz w:val="32"/>
          <w:szCs w:val="32"/>
          <w:lang w:val="en-US" w:eastAsia="zh-CN"/>
        </w:rPr>
        <w:t>关于跨境电商超额反哺预算提升措施</w:t>
      </w:r>
      <w:r>
        <w:rPr>
          <w:rFonts w:hint="eastAsia" w:ascii="黑体" w:hAnsi="黑体" w:eastAsia="黑体" w:cs="黑体"/>
          <w:sz w:val="32"/>
          <w:szCs w:val="32"/>
        </w:rPr>
        <w:t>”的建议，答复如下：</w:t>
      </w:r>
    </w:p>
    <w:p>
      <w:pPr>
        <w:pStyle w:val="10"/>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eastAsia="zh-CN"/>
        </w:rPr>
        <w:t>在充分调研与产业摸排的基础上，</w:t>
      </w:r>
      <w:r>
        <w:rPr>
          <w:rFonts w:hint="eastAsia" w:ascii="仿宋_GB2312" w:hAnsi="仿宋_GB2312" w:eastAsia="仿宋_GB2312" w:cs="仿宋_GB2312"/>
          <w:b w:val="0"/>
          <w:bCs w:val="0"/>
          <w:sz w:val="32"/>
          <w:szCs w:val="32"/>
          <w:lang w:val="en-US" w:eastAsia="zh-CN"/>
        </w:rPr>
        <w:t>市商务局每年</w:t>
      </w:r>
      <w:r>
        <w:rPr>
          <w:rFonts w:hint="default" w:ascii="仿宋_GB2312" w:hAnsi="仿宋_GB2312" w:eastAsia="仿宋_GB2312" w:cs="仿宋_GB2312"/>
          <w:b w:val="0"/>
          <w:bCs w:val="0"/>
          <w:sz w:val="32"/>
          <w:szCs w:val="32"/>
          <w:lang w:eastAsia="zh-CN"/>
        </w:rPr>
        <w:t>会</w:t>
      </w:r>
      <w:r>
        <w:rPr>
          <w:rFonts w:hint="eastAsia" w:ascii="仿宋_GB2312" w:hAnsi="仿宋_GB2312" w:eastAsia="仿宋_GB2312" w:cs="仿宋_GB2312"/>
          <w:b w:val="0"/>
          <w:bCs w:val="0"/>
          <w:sz w:val="32"/>
          <w:szCs w:val="32"/>
          <w:lang w:val="en-US" w:eastAsia="zh-CN"/>
        </w:rPr>
        <w:t>依据跨境电商企业数量规模、产业增长态势及年度发展预测，科学编制下一年度专项资金预算方案报市财政局审批。执行中如确需增加预算额度，可依据实际需求，按程序提前从跨境电商专项资金调剂账户中申请追加，确保财政支持与产业发展动态精准匹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最后，再次感谢您对深圳</w:t>
      </w:r>
      <w:r>
        <w:rPr>
          <w:rFonts w:hint="default" w:ascii="仿宋_GB2312" w:hAnsi="仿宋_GB2312" w:eastAsia="仿宋_GB2312" w:cs="仿宋_GB2312"/>
          <w:sz w:val="32"/>
          <w:szCs w:val="32"/>
          <w:lang w:eastAsia="zh-CN"/>
        </w:rPr>
        <w:t>跨境电商</w:t>
      </w:r>
      <w:r>
        <w:rPr>
          <w:rFonts w:hint="eastAsia" w:ascii="仿宋_GB2312" w:hAnsi="仿宋_GB2312" w:eastAsia="仿宋_GB2312" w:cs="仿宋_GB2312"/>
          <w:sz w:val="32"/>
          <w:szCs w:val="32"/>
          <w:lang w:val="en-US" w:eastAsia="zh-CN"/>
        </w:rPr>
        <w:t>产业发展以及我局工作的关注和支持！希望您继续关心我市</w:t>
      </w:r>
      <w:r>
        <w:rPr>
          <w:rFonts w:hint="default" w:ascii="仿宋_GB2312" w:hAnsi="仿宋_GB2312" w:eastAsia="仿宋_GB2312" w:cs="仿宋_GB2312"/>
          <w:sz w:val="32"/>
          <w:szCs w:val="32"/>
          <w:lang w:eastAsia="zh-CN"/>
        </w:rPr>
        <w:t>跨境电商</w:t>
      </w:r>
      <w:r>
        <w:rPr>
          <w:rFonts w:hint="eastAsia" w:ascii="仿宋_GB2312" w:hAnsi="仿宋_GB2312" w:eastAsia="仿宋_GB2312" w:cs="仿宋_GB2312"/>
          <w:sz w:val="32"/>
          <w:szCs w:val="32"/>
          <w:lang w:val="en-US" w:eastAsia="zh-CN"/>
        </w:rPr>
        <w:t>产业发展工作，并多提宝贵意见。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专此答复。</w:t>
      </w:r>
    </w:p>
    <w:p>
      <w:pPr>
        <w:pStyle w:val="2"/>
        <w:spacing w:line="520" w:lineRule="exact"/>
        <w:rPr>
          <w:rFonts w:hint="eastAsia" w:ascii="仿宋_GB2312" w:hAnsi="仿宋_GB2312" w:eastAsia="仿宋_GB2312" w:cs="仿宋_GB2312"/>
          <w:sz w:val="32"/>
          <w:szCs w:val="32"/>
          <w:lang w:val="en-US" w:eastAsia="zh-CN"/>
        </w:rPr>
      </w:pPr>
    </w:p>
    <w:p>
      <w:pPr>
        <w:pStyle w:val="3"/>
        <w:spacing w:line="520" w:lineRule="exact"/>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520" w:lineRule="exact"/>
        <w:ind w:right="0" w:firstLine="5920" w:firstLineChars="18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深圳市商务局</w:t>
      </w:r>
    </w:p>
    <w:p>
      <w:pPr>
        <w:keepNext w:val="0"/>
        <w:keepLines w:val="0"/>
        <w:pageBreakBefore w:val="0"/>
        <w:widowControl w:val="0"/>
        <w:kinsoku/>
        <w:wordWrap/>
        <w:overflowPunct/>
        <w:topLinePunct w:val="0"/>
        <w:autoSpaceDE/>
        <w:autoSpaceDN/>
        <w:bidi w:val="0"/>
        <w:spacing w:line="520" w:lineRule="exact"/>
        <w:ind w:firstLine="5660" w:firstLineChars="1769"/>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eastAsia="zh-CN"/>
        </w:rPr>
        <w:t>5</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lang w:eastAsia="zh-CN"/>
        </w:rPr>
        <w:t>8</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lang w:eastAsia="zh-CN"/>
        </w:rPr>
        <w:t>19</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0" w:firstLineChars="0"/>
        <w:textAlignment w:val="auto"/>
        <w:rPr>
          <w:rFonts w:hint="eastAsia" w:ascii="仿宋_GB2312" w:hAnsi="仿宋_GB2312" w:eastAsia="仿宋_GB2312" w:cs="仿宋_GB2312"/>
          <w:sz w:val="32"/>
          <w:szCs w:val="32"/>
          <w:lang w:val="en-US" w:eastAsia="zh-CN"/>
        </w:rPr>
      </w:pPr>
      <w:bookmarkStart w:id="0" w:name="_GoBack"/>
      <w:bookmarkEnd w:id="0"/>
    </w:p>
    <w:sectPr>
      <w:footerReference r:id="rId3" w:type="default"/>
      <w:pgSz w:w="11906" w:h="16838"/>
      <w:pgMar w:top="1814" w:right="1474" w:bottom="181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004020304"/>
    <w:charset w:val="7A"/>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004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uXW5UtAAAAAFAQAA&#10;DwAAAAAAAAABACAAAAA4AAAAZHJzL2Rvd25yZXYueG1sUEsBAhQAFAAAAAgAh07iQEySV/7SAQAA&#10;ngMAAA4AAAAAAAAAAQAgAAAANQEAAGRycy9lMm9Eb2MueG1sUEsFBgAAAAAGAAYAWQEAAHkFAAAA&#10;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FD19B5"/>
    <w:rsid w:val="51BD8C7C"/>
    <w:rsid w:val="B8FFAAFA"/>
    <w:rsid w:val="E123926D"/>
    <w:rsid w:val="FAEC385F"/>
    <w:rsid w:val="FEFBB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Autospacing="0"/>
    </w:pPr>
  </w:style>
  <w:style w:type="paragraph" w:styleId="3">
    <w:name w:val="Title"/>
    <w:basedOn w:val="1"/>
    <w:next w:val="1"/>
    <w:qFormat/>
    <w:uiPriority w:val="0"/>
    <w:pPr>
      <w:spacing w:before="240" w:after="60"/>
      <w:jc w:val="center"/>
      <w:outlineLvl w:val="0"/>
    </w:pPr>
    <w:rPr>
      <w:rFonts w:ascii="Cambria" w:hAnsi="Cambria"/>
      <w:b/>
      <w:bCs/>
      <w:sz w:val="32"/>
      <w:szCs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首行缩进1"/>
    <w:basedOn w:val="2"/>
    <w:qFormat/>
    <w:uiPriority w:val="0"/>
    <w:pPr>
      <w:ind w:firstLine="420" w:firstLineChars="100"/>
    </w:pPr>
    <w:rPr>
      <w:rFonts w:ascii="Calibri" w:hAnsi="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2022-08-09T09:03:00Z</dcterms:created>
  <dc:creator>禾禾</dc:creator>
  <cp:lastModifiedBy>文件收发（黄俊源）</cp:lastModifiedBy>
  <cp:lastPrinted>2022-08-12T03:42:00Z</cp:lastPrinted>
  <dcterms:modified xsi:type="dcterms:W3CDTF">2025-11-04T16:11:38Z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KSOTemplateDocerSaveRecord">
    <vt:lpwstr>eyJoZGlkIjoiNGQ3ZGNjYmFlNjMyMjU1ZjNjNmQzMzdkN2I5NGVmMjkiLCJ1c2VySWQiOiI3MzgwNzAzOTcifQ==</vt:lpwstr>
  </property>
  <property fmtid="{D5CDD505-2E9C-101B-9397-08002B2CF9AE}" pid="4" name="ICV">
    <vt:lpwstr>E84BFFED516443679D51F5CCA5EB727A_12</vt:lpwstr>
  </property>
</Properties>
</file>