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深圳市商务局关于对市政协七届</w:t>
      </w:r>
      <w:r>
        <w:rPr>
          <w:rFonts w:hint="default" w:ascii="方正小标宋_GBK" w:hAnsi="方正小标宋_GBK" w:eastAsia="方正小标宋_GBK" w:cs="方正小标宋_GBK"/>
          <w:color w:val="auto"/>
          <w:sz w:val="44"/>
          <w:szCs w:val="44"/>
          <w:lang w:val="en-US"/>
        </w:rPr>
        <w:t>五</w:t>
      </w:r>
      <w:r>
        <w:rPr>
          <w:rFonts w:hint="eastAsia" w:ascii="方正小标宋_GBK" w:hAnsi="方正小标宋_GBK" w:eastAsia="方正小标宋_GBK" w:cs="方正小标宋_GBK"/>
          <w:color w:val="auto"/>
          <w:sz w:val="44"/>
          <w:szCs w:val="44"/>
        </w:rPr>
        <w:t>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第202</w:t>
      </w:r>
      <w:r>
        <w:rPr>
          <w:rFonts w:hint="default" w:ascii="方正小标宋_GBK" w:hAnsi="方正小标宋_GBK" w:eastAsia="方正小标宋_GBK" w:cs="方正小标宋_GBK"/>
          <w:color w:val="auto"/>
          <w:sz w:val="44"/>
          <w:szCs w:val="44"/>
          <w:lang w:val="en-US"/>
        </w:rPr>
        <w:t>50</w:t>
      </w:r>
      <w:r>
        <w:rPr>
          <w:rFonts w:hint="eastAsia" w:ascii="方正小标宋_GBK" w:hAnsi="方正小标宋_GBK" w:eastAsia="方正小标宋_GBK" w:cs="方正小标宋_GBK"/>
          <w:color w:val="auto"/>
          <w:sz w:val="44"/>
          <w:szCs w:val="44"/>
          <w:lang w:val="en-US" w:eastAsia="zh-CN"/>
        </w:rPr>
        <w:t>183</w:t>
      </w:r>
      <w:r>
        <w:rPr>
          <w:rFonts w:hint="eastAsia" w:ascii="方正小标宋_GBK" w:hAnsi="方正小标宋_GBK" w:eastAsia="方正小标宋_GBK" w:cs="方正小标宋_GBK"/>
          <w:color w:val="auto"/>
          <w:sz w:val="44"/>
          <w:szCs w:val="44"/>
        </w:rPr>
        <w:t>号建议答复意见的函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尊敬的</w:t>
      </w:r>
      <w:r>
        <w:rPr>
          <w:rFonts w:hint="default" w:ascii="仿宋_GB2312" w:hAnsi="仿宋_GB2312" w:eastAsia="仿宋_GB2312" w:cs="仿宋_GB2312"/>
          <w:color w:val="auto"/>
          <w:sz w:val="32"/>
          <w:szCs w:val="32"/>
          <w:lang w:val="en-US"/>
        </w:rPr>
        <w:t>冯国章</w:t>
      </w:r>
      <w:r>
        <w:rPr>
          <w:rFonts w:hint="eastAsia" w:ascii="仿宋_GB2312" w:hAnsi="仿宋_GB2312" w:eastAsia="仿宋_GB2312" w:cs="仿宋_GB2312"/>
          <w:color w:val="auto"/>
          <w:sz w:val="32"/>
          <w:szCs w:val="32"/>
        </w:rPr>
        <w:t>代表：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您在市政协七届</w:t>
      </w:r>
      <w:r>
        <w:rPr>
          <w:rFonts w:hint="default" w:ascii="仿宋_GB2312" w:hAnsi="仿宋_GB2312" w:eastAsia="仿宋_GB2312" w:cs="仿宋_GB2312"/>
          <w:color w:val="auto"/>
          <w:sz w:val="32"/>
          <w:szCs w:val="32"/>
          <w:lang w:val="en-US"/>
        </w:rPr>
        <w:t>五</w:t>
      </w:r>
      <w:r>
        <w:rPr>
          <w:rFonts w:hint="eastAsia" w:ascii="仿宋_GB2312" w:hAnsi="仿宋_GB2312" w:eastAsia="仿宋_GB2312" w:cs="仿宋_GB2312"/>
          <w:color w:val="auto"/>
          <w:sz w:val="32"/>
          <w:szCs w:val="32"/>
        </w:rPr>
        <w:t>次会议上提出的第202</w:t>
      </w:r>
      <w:r>
        <w:rPr>
          <w:rFonts w:hint="default" w:ascii="仿宋_GB2312" w:hAnsi="仿宋_GB2312" w:eastAsia="仿宋_GB2312" w:cs="仿宋_GB2312"/>
          <w:color w:val="auto"/>
          <w:sz w:val="32"/>
          <w:szCs w:val="32"/>
          <w:lang w:val="en-US"/>
        </w:rPr>
        <w:t>50</w:t>
      </w:r>
      <w:r>
        <w:rPr>
          <w:rFonts w:hint="eastAsia" w:ascii="仿宋_GB2312" w:hAnsi="仿宋_GB2312" w:eastAsia="仿宋_GB2312" w:cs="仿宋_GB2312"/>
          <w:color w:val="auto"/>
          <w:sz w:val="32"/>
          <w:szCs w:val="32"/>
          <w:lang w:val="en-US" w:eastAsia="zh-CN"/>
        </w:rPr>
        <w:t>183</w:t>
      </w:r>
      <w:r>
        <w:rPr>
          <w:rFonts w:hint="eastAsia" w:ascii="仿宋_GB2312" w:hAnsi="仿宋_GB2312" w:eastAsia="仿宋_GB2312" w:cs="仿宋_GB2312"/>
          <w:color w:val="auto"/>
          <w:sz w:val="32"/>
          <w:szCs w:val="32"/>
        </w:rPr>
        <w:t>号建议《</w:t>
      </w:r>
      <w:r>
        <w:rPr>
          <w:rFonts w:hint="default" w:ascii="仿宋_GB2312" w:hAnsi="仿宋_GB2312" w:eastAsia="仿宋_GB2312" w:cs="仿宋_GB2312"/>
          <w:color w:val="auto"/>
          <w:sz w:val="32"/>
          <w:szCs w:val="32"/>
          <w:lang w:val="en-US" w:eastAsia="zh-CN"/>
        </w:rPr>
        <w:t>关于对我市把握放宽过境免签商业机会的相关建议</w:t>
      </w:r>
      <w:r>
        <w:rPr>
          <w:rFonts w:hint="eastAsia" w:ascii="仿宋_GB2312" w:hAnsi="仿宋_GB2312" w:eastAsia="仿宋_GB2312" w:cs="仿宋_GB2312"/>
          <w:color w:val="auto"/>
          <w:sz w:val="32"/>
          <w:szCs w:val="32"/>
        </w:rPr>
        <w:t>》收悉。非常感谢您对</w:t>
      </w:r>
      <w:r>
        <w:rPr>
          <w:rFonts w:hint="default" w:ascii="仿宋_GB2312" w:hAnsi="仿宋_GB2312" w:eastAsia="仿宋_GB2312" w:cs="仿宋_GB2312"/>
          <w:color w:val="auto"/>
          <w:sz w:val="32"/>
          <w:szCs w:val="32"/>
          <w:lang w:val="en-US"/>
        </w:rPr>
        <w:t>我市进一步</w:t>
      </w:r>
      <w:r>
        <w:rPr>
          <w:rFonts w:hint="eastAsia" w:ascii="仿宋_GB2312" w:hAnsi="仿宋_GB2312" w:eastAsia="仿宋_GB2312" w:cs="仿宋_GB2312"/>
          <w:color w:val="auto"/>
          <w:sz w:val="32"/>
          <w:szCs w:val="32"/>
          <w:lang w:val="en-US" w:eastAsia="zh-CN"/>
        </w:rPr>
        <w:t>结合240小时过境免签政策，做好旅游、商务、展会等工作优化服务</w:t>
      </w:r>
      <w:r>
        <w:rPr>
          <w:rFonts w:hint="eastAsia" w:ascii="仿宋_GB2312" w:hAnsi="仿宋_GB2312" w:eastAsia="仿宋_GB2312" w:cs="仿宋_GB2312"/>
          <w:color w:val="auto"/>
          <w:sz w:val="32"/>
          <w:szCs w:val="32"/>
        </w:rPr>
        <w:t>的关心与支持。经认真研究，现答复如下：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楷体_GB2312" w:hAnsi="楷体_GB2312" w:eastAsia="楷体_GB2312" w:cs="楷体_GB2312"/>
          <w:color w:val="auto"/>
          <w:sz w:val="32"/>
          <w:szCs w:val="32"/>
        </w:rPr>
      </w:pPr>
      <w:r>
        <w:rPr>
          <w:rFonts w:hint="eastAsia" w:ascii="黑体-GB2312" w:hAnsi="黑体-GB2312" w:eastAsia="黑体-GB2312" w:cs="黑体-GB2312"/>
          <w:color w:val="auto"/>
          <w:sz w:val="32"/>
          <w:szCs w:val="32"/>
        </w:rPr>
        <w:t>一、关于“增加举办各类国际会展活动”的建议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深圳市已将会展业作为提升国际影响力的核心抓手，2025年上半年举办各类展会218场，覆盖科技、工业、消费、医疗等多领域，包括工业与高端制造领域的2025国际橡塑展、CIBF深圳国际电池技术展览会等；消费与文化领域的粤港澳大湾区车展、深圳国际电玩节等；新兴产业领域的全球人工智能终端展、国际低空经济与无人系统博览会等；跨境与数字经济领域的全球跨境电商节、国际消费类电子展等。总展览面积755万平方米，同比增长17.3%，吸引境外展商超1100家、观众11万人次。</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下一步</w:t>
      </w:r>
      <w:r>
        <w:rPr>
          <w:rFonts w:hint="eastAsia" w:ascii="仿宋_GB2312" w:hAnsi="仿宋_GB2312" w:eastAsia="仿宋_GB2312" w:cs="仿宋_GB2312"/>
          <w:color w:val="auto"/>
          <w:sz w:val="32"/>
          <w:szCs w:val="32"/>
          <w:lang w:val="en-US" w:eastAsia="zh-CN"/>
        </w:rPr>
        <w:t>，我市将继续提升优化展会服务能力。</w:t>
      </w:r>
      <w:r>
        <w:rPr>
          <w:rFonts w:hint="eastAsia" w:ascii="仿宋_GB2312" w:hAnsi="仿宋_GB2312" w:eastAsia="仿宋_GB2312" w:cs="仿宋_GB2312"/>
          <w:b/>
          <w:bCs/>
          <w:color w:val="auto"/>
          <w:sz w:val="32"/>
          <w:szCs w:val="32"/>
          <w:lang w:val="en-US" w:eastAsia="zh-CN"/>
        </w:rPr>
        <w:t>一是</w:t>
      </w:r>
      <w:r>
        <w:rPr>
          <w:rFonts w:hint="default" w:ascii="仿宋_GB2312" w:hAnsi="仿宋_GB2312" w:eastAsia="仿宋_GB2312" w:cs="仿宋_GB2312"/>
          <w:color w:val="auto"/>
          <w:kern w:val="2"/>
          <w:sz w:val="32"/>
          <w:szCs w:val="32"/>
          <w:lang w:val="en-US" w:eastAsia="zh-CN" w:bidi="ar-SA"/>
        </w:rPr>
        <w:t>强化国际品牌展会牵引力</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依托高交会、文博会等国际性展会，深化“展会后三日”商务活动模式（如国际橡塑展后策划技术对接会），定向邀约过境客商参与，延长停留周期。同步引进AIPC全球大会等高端会议，2025年预计举办超400场展会，实现“20+8”产业集群主题全覆盖。</w:t>
      </w:r>
      <w:r>
        <w:rPr>
          <w:rFonts w:hint="eastAsia" w:ascii="仿宋_GB2312" w:hAnsi="仿宋_GB2312" w:eastAsia="仿宋_GB2312" w:cs="仿宋_GB2312"/>
          <w:b/>
          <w:bCs/>
          <w:color w:val="auto"/>
          <w:kern w:val="2"/>
          <w:sz w:val="32"/>
          <w:szCs w:val="32"/>
          <w:lang w:val="en-US" w:eastAsia="zh-CN" w:bidi="ar-SA"/>
        </w:rPr>
        <w:t>二是</w:t>
      </w:r>
      <w:r>
        <w:rPr>
          <w:rFonts w:hint="default" w:ascii="仿宋_GB2312" w:hAnsi="仿宋_GB2312" w:eastAsia="仿宋_GB2312" w:cs="仿宋_GB2312"/>
          <w:color w:val="auto"/>
          <w:kern w:val="2"/>
          <w:sz w:val="32"/>
          <w:szCs w:val="32"/>
          <w:lang w:val="en-US" w:eastAsia="zh-CN" w:bidi="ar-SA"/>
        </w:rPr>
        <w:t>优化参展全链条服务</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在深圳国际会展中心等场馆增设“过境客商服务专区”，提供多语种政策咨询、商务洽谈预约及《深圳过境商务指南》（含离境退税点、国际航线时刻表）。推广“免出示证件”边检通道经验，联合海关为参展客商开通优先通关服务。</w:t>
      </w: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关于“开发特色商务活动”的建议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color w:val="auto"/>
          <w:kern w:val="2"/>
          <w:sz w:val="32"/>
          <w:szCs w:val="32"/>
          <w:lang w:val="en-US" w:eastAsia="zh-CN" w:bidi="ar-SA"/>
        </w:rPr>
        <w:t>结合240小时过境免签政策，我市积极研究组织结合国际展会、政企培训会、离境退税嘉年华等展会与活动，开发一系列针对过境商务人士的短期培训、研讨会或商务会议。组织开展高规格举办2025深圳全球招商大会，吸引世界500强企业高管、科技创新领军人物等各界精英来深交流合作。</w:t>
      </w:r>
      <w:r>
        <w:rPr>
          <w:rFonts w:hint="eastAsia" w:ascii="仿宋_GB2312" w:hAnsi="仿宋_GB2312" w:eastAsia="仿宋_GB2312" w:cs="仿宋_GB2312"/>
          <w:b/>
          <w:bCs/>
          <w:color w:val="auto"/>
          <w:kern w:val="2"/>
          <w:sz w:val="32"/>
          <w:szCs w:val="32"/>
          <w:lang w:val="en-US" w:eastAsia="zh-CN" w:bidi="ar-SA"/>
        </w:rPr>
        <w:t>二是</w:t>
      </w:r>
      <w:r>
        <w:rPr>
          <w:rFonts w:hint="eastAsia" w:ascii="仿宋_GB2312" w:hAnsi="仿宋_GB2312" w:eastAsia="仿宋_GB2312" w:cs="仿宋_GB2312"/>
          <w:color w:val="auto"/>
          <w:kern w:val="2"/>
          <w:sz w:val="32"/>
          <w:szCs w:val="32"/>
          <w:lang w:val="en-US" w:eastAsia="zh-CN" w:bidi="ar-SA"/>
        </w:rPr>
        <w:t>组织开展“国际支付季”“深圳购物季”“跨年新春消费季”“新型消费季”“黄金内湾消费季”等国际消费主题促消费活动，组织各收单银行、支付机构、国际卡组织、商圈及企业等单位参与，2023年至2025年共组织开展了超2000场国际消费友好促进活动，发布微信支付优化跨境体验、现金零钱包标准化、数字人民币硬钱包创新及便利支付示范商圈建设等四项便民支付成果，通过推出优惠活动、完善支付受理环境，吸引境外人士来深消费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2"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下一步，</w:t>
      </w:r>
      <w:r>
        <w:rPr>
          <w:rFonts w:hint="eastAsia" w:ascii="仿宋_GB2312" w:hAnsi="仿宋_GB2312" w:eastAsia="仿宋_GB2312" w:cs="仿宋_GB2312"/>
          <w:b w:val="0"/>
          <w:bCs w:val="0"/>
          <w:color w:val="auto"/>
          <w:kern w:val="2"/>
          <w:sz w:val="32"/>
          <w:szCs w:val="32"/>
          <w:lang w:val="en-US" w:eastAsia="zh-CN" w:bidi="ar-SA"/>
        </w:rPr>
        <w:t>市商务局</w:t>
      </w:r>
      <w:r>
        <w:rPr>
          <w:rFonts w:hint="eastAsia" w:ascii="仿宋_GB2312" w:hAnsi="仿宋_GB2312" w:eastAsia="仿宋_GB2312" w:cs="仿宋_GB2312"/>
          <w:color w:val="auto"/>
          <w:kern w:val="2"/>
          <w:sz w:val="32"/>
          <w:szCs w:val="32"/>
          <w:lang w:val="en-US" w:eastAsia="zh-CN" w:bidi="ar-SA"/>
        </w:rPr>
        <w:t>将积极配合市外办等单位开发特色商务活动，组织开展“国际支付季”“深圳购物季”“跨年新春消费季”“新型消费季”“黄金内湾消费季”等国际消费主题促消费活动，组织各收单银行、支付机构、国际卡组织、商圈及企业等单位参与，组织开展国际主题活动，吸引过境免签人员来深。</w:t>
      </w: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关于“发挥扩展科技与电子商务优势”的建议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深圳持续深化跨境电商综合试验区建设，发布‌跨境电子商务海外仓服务质量要求地方标准，提升海外仓服务质量。推动建设寄递渠道全流程自动化智能化智慧场站，助力打造全球跨境电商集散中心。积极创建丝路电商合作先行区，打造“关、汇、税、贷、保”一站式阳光化监管服务体系。推动全年新增海外仓面积20万平方米以上，跨境电商进出口规模保持全国第一。加快出台推动服务贸易高质量发展和数字贸易改革创新措施，促进服务贸易扩规模、优质量、提效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2"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下一步</w:t>
      </w:r>
      <w:r>
        <w:rPr>
          <w:rFonts w:hint="eastAsia" w:ascii="仿宋_GB2312" w:hAnsi="仿宋_GB2312" w:eastAsia="仿宋_GB2312" w:cs="仿宋_GB2312"/>
          <w:color w:val="auto"/>
          <w:kern w:val="2"/>
          <w:sz w:val="32"/>
          <w:szCs w:val="32"/>
          <w:lang w:val="en-US" w:eastAsia="zh-CN" w:bidi="ar-SA"/>
        </w:rPr>
        <w:t>，我市继续贯彻落实营造市场化法治化国际化一流营商环境的</w:t>
      </w:r>
      <w:r>
        <w:rPr>
          <w:rFonts w:hint="default" w:ascii="仿宋_GB2312" w:hAnsi="仿宋_GB2312" w:eastAsia="仿宋_GB2312" w:cs="仿宋_GB2312"/>
          <w:color w:val="auto"/>
          <w:kern w:val="2"/>
          <w:sz w:val="32"/>
          <w:szCs w:val="32"/>
          <w:lang w:val="en-US" w:eastAsia="zh-CN" w:bidi="ar-SA"/>
        </w:rPr>
        <w:t>重要</w:t>
      </w:r>
      <w:r>
        <w:rPr>
          <w:rFonts w:hint="eastAsia" w:ascii="仿宋_GB2312" w:hAnsi="仿宋_GB2312" w:eastAsia="仿宋_GB2312" w:cs="仿宋_GB2312"/>
          <w:color w:val="auto"/>
          <w:kern w:val="2"/>
          <w:sz w:val="32"/>
          <w:szCs w:val="32"/>
          <w:lang w:val="en-US" w:eastAsia="zh-CN" w:bidi="ar-SA"/>
        </w:rPr>
        <w:t>精神，坚持以国际化为导向、以制度型开放为动力，对标国际先进城市经验和立足自身禀赋，</w:t>
      </w:r>
      <w:r>
        <w:rPr>
          <w:rFonts w:hint="default" w:ascii="仿宋_GB2312" w:hAnsi="仿宋_GB2312" w:eastAsia="仿宋_GB2312" w:cs="仿宋_GB2312"/>
          <w:color w:val="auto"/>
          <w:kern w:val="2"/>
          <w:sz w:val="32"/>
          <w:szCs w:val="32"/>
          <w:lang w:val="en-US" w:eastAsia="zh-CN" w:bidi="ar-SA"/>
        </w:rPr>
        <w:t>发挥扩展科技与电子商务优势，</w:t>
      </w:r>
      <w:r>
        <w:rPr>
          <w:rFonts w:hint="eastAsia" w:ascii="仿宋_GB2312" w:hAnsi="仿宋_GB2312" w:eastAsia="仿宋_GB2312" w:cs="仿宋_GB2312"/>
          <w:color w:val="auto"/>
          <w:kern w:val="2"/>
          <w:sz w:val="32"/>
          <w:szCs w:val="32"/>
          <w:lang w:val="en-US" w:eastAsia="zh-CN" w:bidi="ar-SA"/>
        </w:rPr>
        <w:t>围绕吸引外资、对外投资、国际贸易、宜居宜游、宜业宜学、城市品牌形象塑造等方面增强能力、提高水平，加快培育具有全球竞争力的国际化营商环境。</w:t>
      </w: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640" w:firstLineChars="200"/>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关于“增加购物和娱乐选项”的建议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深圳积极推进</w:t>
      </w:r>
      <w:r>
        <w:rPr>
          <w:rFonts w:hint="default" w:ascii="仿宋_GB2312" w:hAnsi="仿宋_GB2312" w:eastAsia="仿宋_GB2312" w:cs="仿宋_GB2312"/>
          <w:b w:val="0"/>
          <w:bCs w:val="0"/>
          <w:color w:val="auto"/>
          <w:sz w:val="32"/>
          <w:szCs w:val="32"/>
          <w:lang w:val="en-US" w:eastAsia="zh-CN"/>
        </w:rPr>
        <w:t>城市首发经济发展，推动</w:t>
      </w:r>
      <w:r>
        <w:rPr>
          <w:rFonts w:hint="eastAsia" w:ascii="仿宋_GB2312" w:hAnsi="仿宋_GB2312" w:eastAsia="仿宋_GB2312" w:cs="仿宋_GB2312"/>
          <w:b w:val="0"/>
          <w:bCs w:val="0"/>
          <w:color w:val="auto"/>
          <w:sz w:val="32"/>
          <w:szCs w:val="32"/>
          <w:lang w:val="en-US" w:eastAsia="zh-CN"/>
        </w:rPr>
        <w:t>商文旅消费融合建设与服务升级工作，为来深消费者提供丰富的消费供给与优惠服务。</w:t>
      </w:r>
      <w:r>
        <w:rPr>
          <w:rFonts w:hint="eastAsia" w:ascii="仿宋_GB2312" w:hAnsi="仿宋_GB2312" w:eastAsia="仿宋_GB2312" w:cs="仿宋_GB2312"/>
          <w:b/>
          <w:bCs/>
          <w:color w:val="auto"/>
          <w:sz w:val="32"/>
          <w:szCs w:val="32"/>
          <w:lang w:val="en-US" w:eastAsia="zh-CN"/>
        </w:rPr>
        <w:t>一是</w:t>
      </w:r>
      <w:r>
        <w:rPr>
          <w:rFonts w:hint="default" w:ascii="仿宋_GB2312" w:hAnsi="仿宋_GB2312" w:eastAsia="仿宋_GB2312" w:cs="仿宋_GB2312"/>
          <w:color w:val="auto"/>
          <w:sz w:val="32"/>
          <w:szCs w:val="32"/>
          <w:lang w:val="en-US" w:eastAsia="zh-CN"/>
        </w:rPr>
        <w:t>积极组织开展来深消费便利化活动</w:t>
      </w:r>
      <w:r>
        <w:rPr>
          <w:rFonts w:hint="eastAsia" w:ascii="仿宋_GB2312" w:hAnsi="仿宋_GB2312" w:eastAsia="仿宋_GB2312" w:cs="仿宋_GB2312"/>
          <w:color w:val="auto"/>
          <w:sz w:val="32"/>
          <w:szCs w:val="32"/>
          <w:lang w:val="en-US" w:eastAsia="zh-CN"/>
        </w:rPr>
        <w:t>。从出行打车、通信便利到餐饮、零售消费体验积极组织开展系列活动。其中，组织滴滴出行推出“五一坐滴滴，畅快游深圳”“深港同享 「6折」出发”“专属深港打车券·十大商圈出行福利”等交通出行促消费活动；组织中国移动香港有限公司等移动运营商梳理对港人北上权益服务，推出“港人北上生活节”推出，落地深圳皇庭广场、卓悦中心、金光华、福田星河COCO Park、领展中心城等五家商场，为港人提供专属权益及商场消费券，吸引港客北上消费；组织微信香港、支付宝香港、万事达卡等支付机构及银行还推出“内地消费赏”“10笔97折”等支付优惠活动，营造良好消费氛围。</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结合K11ECOAST，iN城市广场，京东ma11等商场陆续开业，持续打造餐饮、新零售、主题商场等多元化消费场景，吸引香港家庭及年轻群体。同时，打造“湾区海上游”深港旅游合作示范项目，常态化开展文化惠民活动，鼓励观影、看展、音乐旅游等文体娱乐消费，助力两地消费融合提质发展。</w:t>
      </w:r>
    </w:p>
    <w:p>
      <w:pPr>
        <w:pStyle w:val="8"/>
        <w:keepNext w:val="0"/>
        <w:keepLines w:val="0"/>
        <w:pageBreakBefore w:val="0"/>
        <w:widowControl w:val="0"/>
        <w:kinsoku/>
        <w:wordWrap/>
        <w:overflowPunct/>
        <w:topLinePunct w:val="0"/>
        <w:autoSpaceDE/>
        <w:autoSpaceDN/>
        <w:bidi w:val="0"/>
        <w:spacing w:line="500" w:lineRule="exact"/>
        <w:textAlignment w:val="auto"/>
        <w:rPr>
          <w:rFonts w:hint="default"/>
          <w:lang w:val="en-US" w:eastAsia="zh-CN"/>
        </w:rPr>
      </w:pPr>
      <w:r>
        <w:rPr>
          <w:rFonts w:hint="eastAsia" w:ascii="仿宋_GB2312" w:hAnsi="仿宋_GB2312" w:eastAsia="仿宋_GB2312" w:cs="仿宋_GB2312"/>
          <w:b/>
          <w:bCs/>
          <w:color w:val="auto"/>
          <w:sz w:val="32"/>
          <w:szCs w:val="32"/>
          <w:lang w:val="en-US" w:eastAsia="zh-CN"/>
        </w:rPr>
        <w:t>下一步</w:t>
      </w:r>
      <w:r>
        <w:rPr>
          <w:rFonts w:hint="eastAsia" w:ascii="仿宋_GB2312" w:hAnsi="仿宋_GB2312" w:eastAsia="仿宋_GB2312" w:cs="仿宋_GB2312"/>
          <w:color w:val="auto"/>
          <w:sz w:val="32"/>
          <w:szCs w:val="32"/>
          <w:lang w:val="en-US" w:eastAsia="zh-CN"/>
        </w:rPr>
        <w:t>，我市将继续</w:t>
      </w:r>
      <w:r>
        <w:rPr>
          <w:rFonts w:hint="default"/>
          <w:lang w:val="en-US" w:eastAsia="zh-CN"/>
        </w:rPr>
        <w:t>结合首发经济、策展经济等新模式，支持企业积极开展新品首发、落地品牌首店、打造IP首秀和主题快闪等创新消费场景，着力打造消费新热点。组织企业举办</w:t>
      </w:r>
      <w:r>
        <w:rPr>
          <w:rFonts w:hint="eastAsia"/>
          <w:lang w:val="en-US" w:eastAsia="zh-CN"/>
        </w:rPr>
        <w:t>首发经济系列活动</w:t>
      </w:r>
      <w:r>
        <w:rPr>
          <w:rFonts w:hint="default"/>
          <w:lang w:val="en-US" w:eastAsia="zh-CN"/>
        </w:rPr>
        <w:t>，</w:t>
      </w:r>
      <w:r>
        <w:rPr>
          <w:rFonts w:hint="default" w:ascii="仿宋_GB2312" w:hAnsi="仿宋_GB2312" w:eastAsia="仿宋_GB2312" w:cs="仿宋_GB2312"/>
          <w:color w:val="auto"/>
          <w:sz w:val="32"/>
          <w:szCs w:val="32"/>
          <w:lang w:val="en-US" w:eastAsia="zh-CN"/>
        </w:rPr>
        <w:t>推动新增商圈、新开首店、首展、首发新品、首秀活动，</w:t>
      </w:r>
      <w:r>
        <w:rPr>
          <w:rFonts w:hint="default"/>
          <w:lang w:val="en-US" w:eastAsia="zh-CN"/>
        </w:rPr>
        <w:t>吸引国际知名品牌、设计师品牌及科技企业发布新产品，</w:t>
      </w:r>
      <w:r>
        <w:rPr>
          <w:rFonts w:hint="default" w:ascii="仿宋_GB2312" w:hAnsi="仿宋_GB2312" w:eastAsia="仿宋_GB2312" w:cs="仿宋_GB2312"/>
          <w:color w:val="auto"/>
          <w:sz w:val="32"/>
          <w:szCs w:val="32"/>
          <w:lang w:val="en-US" w:eastAsia="zh-CN"/>
        </w:rPr>
        <w:t>丰富来深消费者的消费供给；结合市内免税店及离境退税的政策，</w:t>
      </w:r>
      <w:r>
        <w:rPr>
          <w:rFonts w:hint="default"/>
          <w:lang w:val="en-US" w:eastAsia="zh-CN"/>
        </w:rPr>
        <w:t>推出新模式、新服务、新技术，</w:t>
      </w:r>
      <w:r>
        <w:rPr>
          <w:rFonts w:hint="default" w:ascii="仿宋_GB2312" w:hAnsi="仿宋_GB2312" w:eastAsia="仿宋_GB2312" w:cs="仿宋_GB2312"/>
          <w:color w:val="auto"/>
          <w:sz w:val="32"/>
          <w:szCs w:val="32"/>
          <w:lang w:val="en-US" w:eastAsia="zh-CN"/>
        </w:rPr>
        <w:t>做好来深消费者消费服务</w:t>
      </w:r>
      <w:r>
        <w:rPr>
          <w:rFonts w:hint="eastAsia" w:ascii="仿宋_GB2312" w:hAnsi="仿宋_GB2312" w:eastAsia="仿宋_GB2312" w:cs="仿宋_GB2312"/>
          <w:color w:val="auto"/>
          <w:sz w:val="32"/>
          <w:szCs w:val="32"/>
          <w:lang w:val="en-US" w:eastAsia="zh-CN"/>
        </w:rPr>
        <w:t>供给，</w:t>
      </w:r>
      <w:r>
        <w:rPr>
          <w:rFonts w:hint="default"/>
          <w:lang w:val="en-US" w:eastAsia="zh-CN"/>
        </w:rPr>
        <w:t>全面推动首发经济提质增速。</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五、关于“推广本地文化和美食”建议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深圳积极结合“深圳购物季”“深圳新型消费季”</w:t>
      </w:r>
      <w:r>
        <w:rPr>
          <w:rFonts w:hint="default" w:ascii="仿宋_GB2312" w:hAnsi="仿宋_GB2312" w:eastAsia="仿宋_GB2312" w:cs="仿宋_GB2312"/>
          <w:color w:val="auto"/>
          <w:sz w:val="32"/>
          <w:szCs w:val="32"/>
          <w:lang w:val="en-US" w:eastAsia="zh-CN"/>
        </w:rPr>
        <w:t>“跨年新春消费季”</w:t>
      </w:r>
      <w:r>
        <w:rPr>
          <w:rFonts w:hint="eastAsia" w:ascii="仿宋_GB2312" w:hAnsi="仿宋_GB2312" w:eastAsia="仿宋_GB2312" w:cs="仿宋_GB2312"/>
          <w:color w:val="auto"/>
          <w:sz w:val="32"/>
          <w:szCs w:val="32"/>
          <w:lang w:val="en-US" w:eastAsia="zh-CN"/>
        </w:rPr>
        <w:t>等全市大型促消费活动，聚焦公园、景点、商圈、社区等消费场景与本地餐饮消费融合，精心打造“第五届深圳福田咖啡生活周”“咖啡艺术露营季”等咖啡主题促消费活动；</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组织推出“大众点评必吃榜颁奖盛典”“大众点评必吃榜美食市集”“FUN纵一夏”“夏日清凉季”等餐饮消费活动，推出美食漫游地图和餐饮团券多方位推介我市特色餐饮，向过境游客展示深圳特色的独特魅力，吸引他们前来体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下一步</w:t>
      </w:r>
      <w:r>
        <w:rPr>
          <w:rFonts w:hint="eastAsia" w:ascii="仿宋_GB2312" w:hAnsi="仿宋_GB2312" w:eastAsia="仿宋_GB2312" w:cs="仿宋_GB2312"/>
          <w:color w:val="auto"/>
          <w:kern w:val="2"/>
          <w:sz w:val="32"/>
          <w:szCs w:val="32"/>
          <w:lang w:val="en-US" w:eastAsia="zh-CN" w:bidi="ar-SA"/>
        </w:rPr>
        <w:t>，我市将继续</w:t>
      </w:r>
      <w:r>
        <w:rPr>
          <w:rFonts w:hint="default" w:ascii="仿宋_GB2312" w:hAnsi="仿宋_GB2312" w:eastAsia="仿宋_GB2312" w:cs="仿宋_GB2312"/>
          <w:b w:val="0"/>
          <w:bCs w:val="0"/>
          <w:color w:val="auto"/>
          <w:kern w:val="2"/>
          <w:sz w:val="32"/>
          <w:szCs w:val="32"/>
          <w:highlight w:val="none"/>
          <w:lang w:eastAsia="zh-CN" w:bidi="ar-SA"/>
        </w:rPr>
        <w:t>聚焦深圳特色餐饮美食</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b w:val="0"/>
          <w:bCs w:val="0"/>
          <w:color w:val="auto"/>
          <w:kern w:val="2"/>
          <w:sz w:val="32"/>
          <w:szCs w:val="32"/>
          <w:highlight w:val="none"/>
          <w:lang w:eastAsia="zh-CN" w:bidi="ar-SA"/>
        </w:rPr>
        <w:t>联动“服务消费季”</w:t>
      </w:r>
      <w:r>
        <w:rPr>
          <w:rFonts w:hint="eastAsia" w:ascii="仿宋_GB2312" w:hAnsi="仿宋_GB2312" w:eastAsia="仿宋_GB2312" w:cs="仿宋_GB2312"/>
          <w:color w:val="auto"/>
          <w:kern w:val="2"/>
          <w:sz w:val="32"/>
          <w:szCs w:val="32"/>
          <w:lang w:val="en-US" w:eastAsia="zh-CN" w:bidi="ar-SA"/>
        </w:rPr>
        <w:t>“深圳购物季”“深圳新型消费季”“跨年新春消费季”等系列促消费活动，组织各大商圈、企业及，门店，开展具有城市特色的餐饮消费活动，</w:t>
      </w:r>
      <w:r>
        <w:rPr>
          <w:rFonts w:hint="default" w:ascii="仿宋_GB2312" w:hAnsi="仿宋_GB2312" w:eastAsia="仿宋_GB2312" w:cs="仿宋_GB2312"/>
          <w:b w:val="0"/>
          <w:bCs w:val="0"/>
          <w:color w:val="auto"/>
          <w:kern w:val="2"/>
          <w:sz w:val="32"/>
          <w:szCs w:val="32"/>
          <w:highlight w:val="none"/>
          <w:lang w:eastAsia="zh-CN" w:bidi="ar-SA"/>
        </w:rPr>
        <w:t>融合深圳独有、深圳特色品牌商户以及城市风情带来头部美食盛宴，</w:t>
      </w:r>
      <w:r>
        <w:rPr>
          <w:rFonts w:hint="eastAsia" w:ascii="仿宋_GB2312" w:hAnsi="仿宋_GB2312" w:eastAsia="仿宋_GB2312" w:cs="仿宋_GB2312"/>
          <w:b w:val="0"/>
          <w:bCs w:val="0"/>
          <w:color w:val="auto"/>
          <w:kern w:val="2"/>
          <w:sz w:val="32"/>
          <w:szCs w:val="32"/>
          <w:highlight w:val="none"/>
          <w:lang w:val="en-US" w:eastAsia="zh-CN" w:bidi="ar-SA"/>
        </w:rPr>
        <w:t>将美食优惠折扣与丰富的餐饮消费体验融合创新促发展，</w:t>
      </w:r>
      <w:r>
        <w:rPr>
          <w:rFonts w:hint="default" w:ascii="仿宋_GB2312" w:hAnsi="仿宋_GB2312" w:eastAsia="仿宋_GB2312" w:cs="仿宋_GB2312"/>
          <w:b w:val="0"/>
          <w:bCs w:val="0"/>
          <w:color w:val="auto"/>
          <w:kern w:val="2"/>
          <w:sz w:val="32"/>
          <w:szCs w:val="32"/>
          <w:highlight w:val="none"/>
          <w:lang w:eastAsia="zh-CN" w:bidi="ar-SA"/>
        </w:rPr>
        <w:t>推广本地餐饮特色文化，</w:t>
      </w:r>
      <w:r>
        <w:rPr>
          <w:rFonts w:hint="eastAsia" w:ascii="仿宋_GB2312" w:hAnsi="仿宋_GB2312" w:eastAsia="仿宋_GB2312" w:cs="仿宋_GB2312"/>
          <w:color w:val="auto"/>
          <w:kern w:val="2"/>
          <w:sz w:val="32"/>
          <w:szCs w:val="32"/>
          <w:lang w:val="en-US" w:eastAsia="zh-CN" w:bidi="ar-SA"/>
        </w:rPr>
        <w:t>进一步吸引来深消费，</w:t>
      </w:r>
      <w:r>
        <w:rPr>
          <w:rFonts w:hint="default" w:ascii="仿宋_GB2312" w:hAnsi="仿宋_GB2312" w:eastAsia="仿宋_GB2312" w:cs="仿宋_GB2312"/>
          <w:b w:val="0"/>
          <w:bCs w:val="0"/>
          <w:color w:val="auto"/>
          <w:kern w:val="2"/>
          <w:sz w:val="32"/>
          <w:szCs w:val="32"/>
          <w:highlight w:val="none"/>
          <w:lang w:eastAsia="zh-CN" w:bidi="ar-SA"/>
        </w:rPr>
        <w:t>提振本地餐饮消费</w:t>
      </w: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专此答复。再次感谢您对我市深港跨境消费，建设湾区生活圈</w:t>
      </w:r>
      <w:r>
        <w:rPr>
          <w:rFonts w:hint="default" w:ascii="仿宋_GB2312" w:hAnsi="仿宋_GB2312" w:eastAsia="仿宋_GB2312" w:cs="仿宋_GB2312"/>
          <w:color w:val="auto"/>
          <w:sz w:val="32"/>
          <w:szCs w:val="32"/>
        </w:rPr>
        <w:t>工作</w:t>
      </w:r>
      <w:r>
        <w:rPr>
          <w:rFonts w:hint="eastAsia" w:ascii="仿宋_GB2312" w:hAnsi="仿宋_GB2312" w:eastAsia="仿宋_GB2312" w:cs="仿宋_GB2312"/>
          <w:color w:val="auto"/>
          <w:sz w:val="32"/>
          <w:szCs w:val="32"/>
        </w:rPr>
        <w:t>的关心与支持。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深圳市商务局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w:t>
      </w:r>
      <w:r>
        <w:rPr>
          <w:rFonts w:hint="default"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60" w:lineRule="exact"/>
        <w:textAlignment w:val="auto"/>
        <w:rPr>
          <w:color w:val="auto"/>
        </w:rPr>
      </w:pPr>
      <w:bookmarkStart w:id="0" w:name="_GoBack"/>
      <w:bookmarkEnd w:id="0"/>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黑体-GB2312">
    <w:altName w:val="方正黑体_GBK"/>
    <w:panose1 w:val="00000000000000000000"/>
    <w:charset w:val="00"/>
    <w:family w:val="auto"/>
    <w:pitch w:val="default"/>
    <w:sig w:usb0="00000000" w:usb1="0000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LGdxC3DAQAAhwMAAA4AAAAAAAAAAQAg&#10;AAAANQEAAGRycy9lMm9Eb2MueG1sUEsFBgAAAAAGAAYAWQEAAGoFA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7FE4AF"/>
    <w:rsid w:val="42D746F1"/>
    <w:rsid w:val="5CAC7280"/>
    <w:rsid w:val="5EEE166B"/>
    <w:rsid w:val="615BA038"/>
    <w:rsid w:val="6DEF0871"/>
    <w:rsid w:val="7FFFB56E"/>
    <w:rsid w:val="8AF82364"/>
    <w:rsid w:val="98DBDA2D"/>
    <w:rsid w:val="D7FFFD51"/>
    <w:rsid w:val="EFF767DD"/>
    <w:rsid w:val="FBD482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20" w:lineRule="exact"/>
      <w:jc w:val="center"/>
    </w:pPr>
    <w:rPr>
      <w:rFonts w:hint="eastAsia" w:ascii="Times New Roman" w:hAnsi="Times New Roman" w:eastAsia="宋体" w:cs="Times New Roman"/>
      <w:sz w:val="21"/>
      <w:szCs w:val="24"/>
      <w:lang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2679</Words>
  <Characters>2790</Characters>
  <Lines>0</Lines>
  <Paragraphs>0</Paragraphs>
  <TotalTime>39</TotalTime>
  <ScaleCrop>false</ScaleCrop>
  <LinksUpToDate>false</LinksUpToDate>
  <CharactersWithSpaces>2845</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2022-08-10T01:03:00Z</dcterms:created>
  <dc:creator>禾禾</dc:creator>
  <cp:lastModifiedBy>文件收发（黄俊源）</cp:lastModifiedBy>
  <cp:lastPrinted>2022-08-12T19:42:00Z</cp:lastPrinted>
  <dcterms:modified xsi:type="dcterms:W3CDTF">2025-11-04T16:10:15Z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CE875B08176B4F1E8558F62C2554966E_13</vt:lpwstr>
  </property>
  <property fmtid="{D5CDD505-2E9C-101B-9397-08002B2CF9AE}" pid="4" name="KSOTemplateDocerSaveRecord">
    <vt:lpwstr>eyJoZGlkIjoiMGU3Y2E1YjE4OTIzOGUyMjE2YzY3ODc2NzNiNDI0M2UiLCJ1c2VySWQiOiIyNDQ3NDIwMDIifQ==</vt:lpwstr>
  </property>
</Properties>
</file>