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pacing w:val="-4"/>
          <w:kern w:val="2"/>
          <w:sz w:val="44"/>
          <w:szCs w:val="44"/>
          <w:highlight w:val="none"/>
          <w:lang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4"/>
          <w:kern w:val="2"/>
          <w:sz w:val="44"/>
          <w:szCs w:val="44"/>
          <w:highlight w:val="none"/>
          <w:lang w:eastAsia="zh-CN"/>
          <w14:textFill>
            <w14:solidFill>
              <w14:schemeClr w14:val="tx1"/>
            </w14:solidFill>
          </w14:textFill>
        </w:rPr>
        <w:t>深圳市商务局关于对市政协七届五次会议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pacing w:val="-4"/>
          <w:kern w:val="2"/>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4"/>
          <w:kern w:val="2"/>
          <w:sz w:val="44"/>
          <w:szCs w:val="44"/>
          <w:highlight w:val="none"/>
          <w:lang w:eastAsia="zh-CN"/>
          <w14:textFill>
            <w14:solidFill>
              <w14:schemeClr w14:val="tx1"/>
            </w14:solidFill>
          </w14:textFill>
        </w:rPr>
        <w:t>第</w:t>
      </w:r>
      <w:r>
        <w:rPr>
          <w:rFonts w:hint="eastAsia" w:ascii="方正小标宋简体" w:hAnsi="方正小标宋简体" w:eastAsia="方正小标宋简体" w:cs="方正小标宋简体"/>
          <w:color w:val="000000" w:themeColor="text1"/>
          <w:spacing w:val="-4"/>
          <w:kern w:val="2"/>
          <w:sz w:val="44"/>
          <w:szCs w:val="44"/>
          <w:highlight w:val="none"/>
          <w:lang w:val="en-US" w:eastAsia="zh-CN"/>
          <w14:textFill>
            <w14:solidFill>
              <w14:schemeClr w14:val="tx1"/>
            </w14:solidFill>
          </w14:textFill>
        </w:rPr>
        <w:t>20250160号提案答复意见的函</w:t>
      </w:r>
    </w:p>
    <w:p>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color w:val="000000" w:themeColor="text1"/>
          <w:spacing w:val="-4"/>
          <w:kern w:val="2"/>
          <w:sz w:val="44"/>
          <w:szCs w:val="44"/>
          <w:highlight w:val="none"/>
          <w:lang w:val="en-US" w:eastAsia="zh-CN"/>
          <w14:textFill>
            <w14:solidFill>
              <w14:schemeClr w14:val="tx1"/>
            </w14:solidFill>
          </w14:textFill>
        </w:rPr>
      </w:pPr>
    </w:p>
    <w:p>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pacing w:val="-4"/>
          <w:kern w:val="2"/>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4"/>
          <w:kern w:val="2"/>
          <w:sz w:val="32"/>
          <w:szCs w:val="32"/>
          <w:highlight w:val="none"/>
          <w:lang w:val="en-US" w:eastAsia="zh-CN"/>
          <w14:textFill>
            <w14:solidFill>
              <w14:schemeClr w14:val="tx1"/>
            </w14:solidFill>
          </w14:textFill>
        </w:rPr>
        <w:t>尊敬的黄熙委员：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rPr>
          <w:rFonts w:hint="eastAsia" w:ascii="仿宋_GB2312" w:hAnsi="仿宋_GB2312" w:eastAsia="仿宋_GB2312" w:cs="仿宋_GB2312"/>
          <w:color w:val="000000" w:themeColor="text1"/>
          <w:spacing w:val="-4"/>
          <w:kern w:val="2"/>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4"/>
          <w:kern w:val="2"/>
          <w:sz w:val="32"/>
          <w:szCs w:val="32"/>
          <w:highlight w:val="none"/>
          <w:lang w:val="en-US" w:eastAsia="zh-CN"/>
          <w14:textFill>
            <w14:solidFill>
              <w14:schemeClr w14:val="tx1"/>
            </w14:solidFill>
          </w14:textFill>
        </w:rPr>
        <w:t>您在市政协七届五次会议提出的《关于坚持创新驱动发展，“深圳智造”打造全球化中国品牌的建议》收悉。</w:t>
      </w:r>
      <w:r>
        <w:rPr>
          <w:rFonts w:hint="eastAsia" w:ascii="仿宋_GB2312" w:hAnsi="仿宋_GB2312" w:eastAsia="仿宋_GB2312" w:cs="仿宋_GB2312"/>
          <w:sz w:val="32"/>
          <w:szCs w:val="32"/>
          <w:lang w:val="en-US" w:eastAsia="zh-CN"/>
        </w:rPr>
        <w:t>经认真研究并汇总有关部门意见，现就提案答复如下：</w:t>
      </w:r>
    </w:p>
    <w:p>
      <w:pPr>
        <w:pStyle w:val="9"/>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Fonts w:hint="eastAsia" w:ascii="仿宋_GB2312" w:hAnsi="仿宋_GB2312" w:eastAsia="仿宋_GB2312" w:cs="仿宋_GB2312"/>
          <w:szCs w:val="32"/>
        </w:rPr>
      </w:pPr>
      <w:r>
        <w:rPr>
          <w:rFonts w:hint="eastAsia" w:ascii="黑体" w:hAnsi="黑体" w:eastAsia="黑体" w:cs="黑体"/>
          <w:color w:val="000000" w:themeColor="text1"/>
          <w:spacing w:val="-4"/>
          <w:kern w:val="2"/>
          <w:sz w:val="32"/>
          <w:szCs w:val="32"/>
          <w:highlight w:val="none"/>
          <w:lang w:val="en-US" w:eastAsia="zh-CN"/>
          <w14:textFill>
            <w14:solidFill>
              <w14:schemeClr w14:val="tx1"/>
            </w14:solidFill>
          </w14:textFill>
        </w:rPr>
        <w:t>一、关于“注重提升‘出海’产品的附加值和竞争力，致力于打造全球化中国品牌名片”的建议</w:t>
      </w:r>
    </w:p>
    <w:p>
      <w:pPr>
        <w:pStyle w:val="9"/>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bCs/>
          <w:i w:val="0"/>
          <w:iCs w:val="0"/>
          <w:sz w:val="32"/>
          <w:szCs w:val="32"/>
          <w:lang w:eastAsia="zh-CN"/>
        </w:rPr>
      </w:pPr>
      <w:r>
        <w:rPr>
          <w:rFonts w:hint="eastAsia" w:ascii="仿宋_GB2312" w:hAnsi="仿宋_GB2312" w:eastAsia="仿宋_GB2312" w:cs="仿宋_GB2312"/>
          <w:szCs w:val="32"/>
        </w:rPr>
        <w:t>近年来，</w:t>
      </w:r>
      <w:r>
        <w:rPr>
          <w:rFonts w:hint="eastAsia" w:ascii="仿宋_GB2312" w:hAnsi="仿宋_GB2312" w:eastAsia="仿宋_GB2312" w:cs="仿宋_GB2312"/>
          <w:szCs w:val="32"/>
          <w:lang w:val="en-US" w:eastAsia="zh-CN"/>
        </w:rPr>
        <w:t>我市充分发挥</w:t>
      </w:r>
      <w:r>
        <w:rPr>
          <w:rFonts w:hint="eastAsia" w:ascii="仿宋_GB2312" w:hAnsi="仿宋_GB2312" w:eastAsia="仿宋_GB2312" w:cs="仿宋_GB2312"/>
          <w:szCs w:val="32"/>
        </w:rPr>
        <w:t>跨境电子商务综合试验区政策优势，依托良好</w:t>
      </w:r>
      <w:r>
        <w:rPr>
          <w:rFonts w:hint="eastAsia" w:ascii="仿宋_GB2312" w:hAnsi="仿宋_GB2312" w:eastAsia="仿宋_GB2312" w:cs="仿宋_GB2312"/>
          <w:szCs w:val="32"/>
          <w:lang w:val="en-US" w:eastAsia="zh-CN"/>
        </w:rPr>
        <w:t>的</w:t>
      </w:r>
      <w:r>
        <w:rPr>
          <w:rFonts w:hint="eastAsia" w:ascii="仿宋_GB2312" w:hAnsi="仿宋_GB2312" w:eastAsia="仿宋_GB2312" w:cs="仿宋_GB2312"/>
          <w:szCs w:val="32"/>
        </w:rPr>
        <w:t>制造业基础、优越</w:t>
      </w:r>
      <w:r>
        <w:rPr>
          <w:rFonts w:hint="eastAsia" w:ascii="仿宋_GB2312" w:hAnsi="仿宋_GB2312" w:eastAsia="仿宋_GB2312" w:cs="仿宋_GB2312"/>
          <w:szCs w:val="32"/>
          <w:lang w:val="en-US" w:eastAsia="zh-CN"/>
        </w:rPr>
        <w:t>的</w:t>
      </w:r>
      <w:r>
        <w:rPr>
          <w:rFonts w:hint="eastAsia" w:ascii="仿宋_GB2312" w:hAnsi="仿宋_GB2312" w:eastAsia="仿宋_GB2312" w:cs="仿宋_GB2312"/>
          <w:szCs w:val="32"/>
        </w:rPr>
        <w:t>口岸条件和成熟</w:t>
      </w:r>
      <w:r>
        <w:rPr>
          <w:rFonts w:hint="eastAsia" w:ascii="仿宋_GB2312" w:hAnsi="仿宋_GB2312" w:eastAsia="仿宋_GB2312" w:cs="仿宋_GB2312"/>
          <w:szCs w:val="32"/>
          <w:lang w:val="en-US" w:eastAsia="zh-CN"/>
        </w:rPr>
        <w:t>的</w:t>
      </w:r>
      <w:r>
        <w:rPr>
          <w:rFonts w:hint="eastAsia" w:ascii="仿宋_GB2312" w:hAnsi="仿宋_GB2312" w:eastAsia="仿宋_GB2312" w:cs="仿宋_GB2312"/>
          <w:szCs w:val="32"/>
        </w:rPr>
        <w:t>对外贸易体系，持续优化营商环境，有序推</w:t>
      </w:r>
      <w:r>
        <w:rPr>
          <w:rFonts w:hint="eastAsia" w:ascii="仿宋_GB2312" w:hAnsi="仿宋_GB2312" w:eastAsia="仿宋_GB2312" w:cs="仿宋_GB2312"/>
          <w:szCs w:val="32"/>
          <w:lang w:val="en-US" w:eastAsia="zh-CN"/>
        </w:rPr>
        <w:t>进</w:t>
      </w:r>
      <w:r>
        <w:rPr>
          <w:rFonts w:hint="eastAsia" w:ascii="仿宋_GB2312" w:hAnsi="仿宋_GB2312" w:eastAsia="仿宋_GB2312" w:cs="仿宋_GB2312"/>
          <w:szCs w:val="32"/>
        </w:rPr>
        <w:t>阳光化试点</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持续扩大海外仓布局</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不断完善产业生态，推动跨境电商高质量发展。</w:t>
      </w:r>
      <w:r>
        <w:rPr>
          <w:rFonts w:hint="eastAsia" w:ascii="仿宋_GB2312" w:hAnsi="仿宋_GB2312" w:eastAsia="仿宋_GB2312" w:cs="仿宋_GB2312"/>
          <w:b/>
          <w:bCs/>
          <w:szCs w:val="32"/>
          <w:lang w:val="en-US" w:eastAsia="zh-CN"/>
        </w:rPr>
        <w:t>一是</w:t>
      </w:r>
      <w:r>
        <w:rPr>
          <w:rFonts w:hint="eastAsia" w:ascii="仿宋_GB2312" w:hAnsi="仿宋_GB2312" w:eastAsia="仿宋_GB2312" w:cs="仿宋_GB2312"/>
          <w:szCs w:val="32"/>
        </w:rPr>
        <w:t>支持企业优化</w:t>
      </w:r>
      <w:r>
        <w:rPr>
          <w:rFonts w:hint="eastAsia" w:ascii="仿宋_GB2312" w:hAnsi="仿宋_GB2312" w:eastAsia="仿宋_GB2312" w:cs="仿宋_GB2312"/>
          <w:szCs w:val="32"/>
          <w:lang w:val="en-US" w:eastAsia="zh-CN"/>
        </w:rPr>
        <w:t>扩大</w:t>
      </w:r>
      <w:r>
        <w:rPr>
          <w:rFonts w:hint="eastAsia" w:ascii="仿宋_GB2312" w:hAnsi="仿宋_GB2312" w:eastAsia="仿宋_GB2312" w:cs="仿宋_GB2312"/>
          <w:szCs w:val="32"/>
        </w:rPr>
        <w:t>海外仓布局</w:t>
      </w:r>
      <w:r>
        <w:rPr>
          <w:rFonts w:hint="eastAsia" w:ascii="仿宋_GB2312" w:hAnsi="仿宋_GB2312" w:eastAsia="仿宋_GB2312" w:cs="仿宋_GB2312"/>
          <w:szCs w:val="32"/>
          <w:lang w:val="en-US" w:eastAsia="zh-CN"/>
        </w:rPr>
        <w:t>和寄递场所建设</w:t>
      </w:r>
      <w:r>
        <w:rPr>
          <w:rFonts w:hint="eastAsia" w:ascii="仿宋_GB2312" w:hAnsi="仿宋_GB2312" w:eastAsia="仿宋_GB2312" w:cs="仿宋_GB2312"/>
          <w:szCs w:val="32"/>
        </w:rPr>
        <w:t>，扩展东南亚、中东、非洲、拉美等新兴市场</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加大海外仓政策支持力度，推广运用海外投资保险等政策性金融工具支持企业优化布局，用好用足出口海外仓货物离境即退税政策。</w:t>
      </w:r>
      <w:r>
        <w:rPr>
          <w:rFonts w:hint="eastAsia" w:ascii="仿宋_GB2312" w:hAnsi="仿宋_GB2312" w:eastAsia="仿宋_GB2312" w:cs="仿宋_GB2312"/>
          <w:b/>
          <w:bCs/>
          <w:szCs w:val="32"/>
          <w:lang w:val="en-US" w:eastAsia="zh-CN"/>
        </w:rPr>
        <w:t>二是</w:t>
      </w:r>
      <w:r>
        <w:rPr>
          <w:rFonts w:hint="eastAsia" w:ascii="仿宋_GB2312" w:hAnsi="仿宋_GB2312" w:eastAsia="仿宋_GB2312" w:cs="仿宋_GB2312"/>
          <w:szCs w:val="32"/>
          <w:lang w:val="en-US" w:eastAsia="zh-CN"/>
        </w:rPr>
        <w:t>大力发展“跨境电商+产业带”模式，持续</w:t>
      </w:r>
      <w:r>
        <w:rPr>
          <w:rFonts w:hint="eastAsia" w:ascii="仿宋_GB2312" w:hAnsi="仿宋_GB2312" w:eastAsia="仿宋_GB2312" w:cs="仿宋_GB2312"/>
          <w:szCs w:val="32"/>
        </w:rPr>
        <w:t>完善市区两级的联动机制，不断发掘“工贸一体”的优质企业，支持优质工业产品依托跨境电商渠道实现品牌出海</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支持</w:t>
      </w:r>
      <w:r>
        <w:rPr>
          <w:rFonts w:hint="eastAsia" w:ascii="仿宋_GB2312" w:hAnsi="仿宋_GB2312" w:eastAsia="仿宋_GB2312" w:cs="仿宋_GB2312"/>
          <w:szCs w:val="32"/>
          <w:lang w:val="en-US" w:eastAsia="zh-CN"/>
        </w:rPr>
        <w:t>消费电子、眼镜、服装、家具、黄金珠宝、钟表等深圳优势产业</w:t>
      </w:r>
      <w:r>
        <w:rPr>
          <w:rFonts w:hint="eastAsia" w:ascii="仿宋_GB2312" w:hAnsi="仿宋_GB2312" w:eastAsia="仿宋_GB2312" w:cs="仿宋_GB2312"/>
          <w:szCs w:val="32"/>
          <w:lang w:eastAsia="zh-CN"/>
        </w:rPr>
        <w:t>，借助网络直播和跨境电商渠道开拓海外市场。</w:t>
      </w:r>
      <w:r>
        <w:rPr>
          <w:rFonts w:hint="eastAsia" w:ascii="仿宋_GB2312" w:hAnsi="仿宋_GB2312" w:eastAsia="仿宋_GB2312" w:cs="仿宋_GB2312"/>
          <w:b/>
          <w:bCs/>
          <w:szCs w:val="32"/>
          <w:lang w:val="en-US" w:eastAsia="zh-CN"/>
        </w:rPr>
        <w:t>三是</w:t>
      </w:r>
      <w:r>
        <w:rPr>
          <w:rFonts w:hint="eastAsia" w:ascii="仿宋_GB2312" w:hAnsi="仿宋_GB2312" w:eastAsia="仿宋_GB2312" w:cs="仿宋_GB2312"/>
          <w:szCs w:val="32"/>
          <w:lang w:val="en-US" w:eastAsia="zh-CN"/>
        </w:rPr>
        <w:t>持续深化“关汇税贷保”阳光化改革，对参与阳光化试点的企业加大政策力度，协调海关、税务、外汇等监管部门出台便利化措施，推动海外仓、独立站及金融机构等基础数据与阳光化平台互联，加大“跨境电商保”试点政策宣传，为阳光化企业提供更优质服务。</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bCs/>
          <w:sz w:val="32"/>
          <w:szCs w:val="32"/>
          <w:highlight w:val="none"/>
          <w:u w:val="none" w:color="auto"/>
          <w:lang w:eastAsia="zh-CN"/>
        </w:rPr>
      </w:pPr>
      <w:r>
        <w:rPr>
          <w:rFonts w:hint="eastAsia" w:ascii="黑体" w:hAnsi="黑体" w:eastAsia="黑体" w:cs="黑体"/>
          <w:color w:val="000000" w:themeColor="text1"/>
          <w:spacing w:val="-4"/>
          <w:kern w:val="2"/>
          <w:sz w:val="32"/>
          <w:szCs w:val="32"/>
          <w:highlight w:val="none"/>
          <w:lang w:val="en-US" w:eastAsia="zh-CN"/>
          <w14:textFill>
            <w14:solidFill>
              <w14:schemeClr w14:val="tx1"/>
            </w14:solidFill>
          </w14:textFill>
        </w:rPr>
        <w:t>二、关于“更大力度给予出海品牌系列金融政策支持”的建议</w:t>
      </w:r>
    </w:p>
    <w:p>
      <w:pPr>
        <w:pStyle w:val="13"/>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b/>
          <w:bCs/>
          <w:sz w:val="32"/>
          <w:szCs w:val="32"/>
          <w:highlight w:val="none"/>
          <w:u w:val="none" w:color="auto"/>
          <w:lang w:val="en-US" w:eastAsia="zh-CN"/>
        </w:rPr>
      </w:pPr>
      <w:r>
        <w:rPr>
          <w:rFonts w:hint="eastAsia" w:ascii="仿宋_GB2312" w:hAnsi="仿宋_GB2312" w:eastAsia="仿宋_GB2312" w:cs="仿宋_GB2312"/>
          <w:kern w:val="2"/>
          <w:sz w:val="32"/>
          <w:szCs w:val="32"/>
          <w:lang w:val="en-US" w:eastAsia="zh-CN" w:bidi="ar-SA"/>
        </w:rPr>
        <w:t>市商务投促部门历来高度重视与金融协同，并在工作实践中强化与金融联动对接，推动形成更大合力培育市场主体，不断促进服务企业稳健“出海”发展。</w:t>
      </w:r>
      <w:r>
        <w:rPr>
          <w:rFonts w:hint="eastAsia" w:ascii="仿宋_GB2312" w:hAnsi="仿宋_GB2312" w:eastAsia="仿宋_GB2312" w:cs="仿宋_GB2312"/>
          <w:b/>
          <w:bCs/>
          <w:sz w:val="32"/>
          <w:szCs w:val="32"/>
          <w:highlight w:val="none"/>
          <w:u w:val="none" w:color="auto"/>
          <w:lang w:val="en-US" w:eastAsia="zh-CN"/>
        </w:rPr>
        <w:t>一是</w:t>
      </w:r>
      <w:r>
        <w:rPr>
          <w:rFonts w:hint="eastAsia" w:ascii="仿宋_GB2312" w:hAnsi="仿宋_GB2312" w:eastAsia="仿宋_GB2312" w:cs="仿宋_GB2312"/>
          <w:b w:val="0"/>
          <w:bCs w:val="0"/>
          <w:sz w:val="32"/>
          <w:szCs w:val="32"/>
          <w:highlight w:val="none"/>
          <w:u w:val="none" w:color="auto"/>
          <w:lang w:val="en-US" w:eastAsia="zh-CN"/>
        </w:rPr>
        <w:t>推动落实《深圳市金融支持外贸的若干措施》，</w:t>
      </w:r>
      <w:r>
        <w:rPr>
          <w:rFonts w:hint="default" w:ascii="仿宋_GB2312" w:hAnsi="仿宋_GB2312" w:eastAsia="仿宋_GB2312" w:cs="仿宋_GB2312"/>
          <w:b w:val="0"/>
          <w:bCs w:val="0"/>
          <w:i w:val="0"/>
          <w:iCs w:val="0"/>
          <w:caps w:val="0"/>
          <w:color w:val="auto"/>
          <w:spacing w:val="0"/>
          <w:sz w:val="32"/>
          <w:szCs w:val="32"/>
        </w:rPr>
        <w:t>帮助企业积极对接金融机构，指导</w:t>
      </w:r>
      <w:r>
        <w:rPr>
          <w:rFonts w:hint="default" w:ascii="仿宋_GB2312" w:hAnsi="仿宋_GB2312" w:eastAsia="仿宋_GB2312" w:cs="仿宋_GB2312"/>
          <w:i w:val="0"/>
          <w:iCs w:val="0"/>
          <w:caps w:val="0"/>
          <w:color w:val="auto"/>
          <w:spacing w:val="0"/>
          <w:sz w:val="32"/>
          <w:szCs w:val="32"/>
        </w:rPr>
        <w:t>银行机构充分支持企业融资需求，创新融资产品，丰富完善信贷产品服务，开展基于真实可信的订单、物流等数据的供应链融资业务</w:t>
      </w:r>
      <w:r>
        <w:rPr>
          <w:rFonts w:hint="eastAsia" w:ascii="仿宋_GB2312" w:hAnsi="仿宋_GB2312" w:eastAsia="仿宋_GB2312" w:cs="仿宋_GB2312"/>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会同相关部门第一时间落实国家相关金融支持政策</w:t>
      </w:r>
      <w:r>
        <w:rPr>
          <w:rFonts w:hint="default" w:ascii="仿宋_GB2312" w:hAnsi="仿宋_GB2312" w:eastAsia="仿宋_GB2312" w:cs="仿宋_GB2312"/>
          <w:i w:val="0"/>
          <w:iCs w:val="0"/>
          <w:caps w:val="0"/>
          <w:color w:val="auto"/>
          <w:spacing w:val="0"/>
          <w:sz w:val="32"/>
          <w:szCs w:val="32"/>
        </w:rPr>
        <w:t>。</w:t>
      </w:r>
      <w:r>
        <w:rPr>
          <w:rFonts w:hint="eastAsia" w:ascii="仿宋_GB2312" w:hAnsi="仿宋_GB2312" w:eastAsia="仿宋_GB2312" w:cs="仿宋_GB2312"/>
          <w:b/>
          <w:bCs/>
          <w:i w:val="0"/>
          <w:iCs w:val="0"/>
          <w:caps w:val="0"/>
          <w:color w:val="auto"/>
          <w:spacing w:val="0"/>
          <w:sz w:val="32"/>
          <w:szCs w:val="32"/>
          <w:lang w:val="en-US" w:eastAsia="zh-CN"/>
        </w:rPr>
        <w:t>二是</w:t>
      </w:r>
      <w:r>
        <w:rPr>
          <w:rFonts w:hint="eastAsia" w:ascii="仿宋_GB2312" w:hAnsi="仿宋_GB2312" w:eastAsia="仿宋_GB2312" w:cs="仿宋_GB2312"/>
          <w:i w:val="0"/>
          <w:iCs w:val="0"/>
          <w:caps w:val="0"/>
          <w:color w:val="auto"/>
          <w:spacing w:val="0"/>
          <w:sz w:val="32"/>
          <w:szCs w:val="32"/>
          <w:lang w:val="en-US" w:eastAsia="zh-CN"/>
        </w:rPr>
        <w:t>支持企业以展促贸开拓国外市场，统筹建立市区协同的境外参展支持政策，制定涵盖近300场境外展会的支持清单，对包括战略性新兴产业相关企业在内的市场主体赴境外参展给予展位费50%补贴，同步会同相关组展机构，为企业赴境外参展提供渠道对接、展前培训与辅导等服务。</w:t>
      </w:r>
      <w:r>
        <w:rPr>
          <w:rFonts w:hint="eastAsia" w:ascii="仿宋_GB2312" w:hAnsi="仿宋_GB2312" w:eastAsia="仿宋_GB2312" w:cs="仿宋_GB2312"/>
          <w:b/>
          <w:bCs/>
          <w:sz w:val="32"/>
          <w:szCs w:val="32"/>
          <w:highlight w:val="none"/>
          <w:u w:val="none" w:color="auto"/>
          <w:lang w:val="en-US" w:eastAsia="zh-CN"/>
        </w:rPr>
        <w:t>三是</w:t>
      </w:r>
      <w:r>
        <w:rPr>
          <w:rFonts w:hint="eastAsia" w:ascii="仿宋_GB2312" w:hAnsi="仿宋_GB2312" w:eastAsia="仿宋_GB2312" w:cs="仿宋_GB2312"/>
          <w:sz w:val="32"/>
          <w:szCs w:val="32"/>
          <w:lang w:val="en-US" w:eastAsia="zh-CN"/>
        </w:rPr>
        <w:t>依托驻海外经贸代表处/联络处、行业协会以及头部企业的资源，通过举办境外展示展销会、建设精品展示交易中心等途径，助力企业更好“出海”抢订单。</w:t>
      </w:r>
      <w:r>
        <w:rPr>
          <w:rFonts w:hint="eastAsia" w:ascii="仿宋_GB2312" w:hAnsi="仿宋_GB2312" w:eastAsia="仿宋_GB2312" w:cs="仿宋_GB2312"/>
          <w:b/>
          <w:bCs/>
          <w:sz w:val="32"/>
          <w:szCs w:val="32"/>
          <w:highlight w:val="none"/>
          <w:u w:val="none" w:color="auto"/>
          <w:lang w:val="en-US" w:eastAsia="zh-CN"/>
        </w:rPr>
        <w:t>四是</w:t>
      </w:r>
      <w:r>
        <w:rPr>
          <w:rFonts w:hint="eastAsia" w:ascii="仿宋_GB2312" w:hAnsi="仿宋_GB2312" w:eastAsia="仿宋_GB2312" w:cs="仿宋_GB2312"/>
          <w:b w:val="0"/>
          <w:color w:val="auto"/>
          <w:sz w:val="32"/>
          <w:szCs w:val="32"/>
          <w:highlight w:val="none"/>
          <w:lang w:val="en-US" w:eastAsia="zh-CN"/>
        </w:rPr>
        <w:t>充分发挥出口信用保险作用，政策支持企业投保出口信用保险，降低企业出口成本，</w:t>
      </w:r>
      <w:r>
        <w:rPr>
          <w:rFonts w:hint="default" w:ascii="仿宋_GB2312" w:hAnsi="仿宋_GB2312" w:eastAsia="仿宋_GB2312" w:cs="仿宋_GB2312"/>
          <w:i w:val="0"/>
          <w:iCs w:val="0"/>
          <w:caps w:val="0"/>
          <w:color w:val="auto"/>
          <w:spacing w:val="0"/>
          <w:sz w:val="32"/>
          <w:szCs w:val="32"/>
        </w:rPr>
        <w:t>鼓励保险机构优化承保理赔条件，提高承保额度、理赔力度，</w:t>
      </w:r>
      <w:r>
        <w:rPr>
          <w:rFonts w:hint="eastAsia" w:ascii="仿宋_GB2312" w:hAnsi="仿宋_GB2312" w:eastAsia="仿宋_GB2312" w:cs="仿宋_GB2312"/>
          <w:b w:val="0"/>
          <w:color w:val="auto"/>
          <w:sz w:val="32"/>
          <w:szCs w:val="32"/>
          <w:highlight w:val="none"/>
          <w:lang w:val="en-US" w:eastAsia="zh-CN"/>
        </w:rPr>
        <w:t>持续落实中小微外贸企业出口信用保险“大统保”政</w:t>
      </w:r>
      <w:r>
        <w:rPr>
          <w:rFonts w:hint="eastAsia" w:ascii="仿宋_GB2312" w:hAnsi="仿宋_GB2312" w:eastAsia="仿宋_GB2312" w:cs="仿宋_GB2312"/>
          <w:sz w:val="32"/>
          <w:szCs w:val="32"/>
          <w:lang w:val="en-US" w:eastAsia="zh-CN"/>
        </w:rPr>
        <w:t>策，探索推进进口预付款保单融资。</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color w:val="000000" w:themeColor="text1"/>
          <w:spacing w:val="-4"/>
          <w:kern w:val="2"/>
          <w:sz w:val="32"/>
          <w:szCs w:val="32"/>
          <w:highlight w:val="none"/>
          <w:lang w:val="en-US" w:eastAsia="zh-CN"/>
          <w14:textFill>
            <w14:solidFill>
              <w14:schemeClr w14:val="tx1"/>
            </w14:solidFill>
          </w14:textFill>
        </w:rPr>
      </w:pPr>
      <w:r>
        <w:rPr>
          <w:rFonts w:hint="eastAsia" w:ascii="黑体" w:hAnsi="黑体" w:eastAsia="黑体" w:cs="黑体"/>
          <w:color w:val="auto"/>
          <w:sz w:val="32"/>
          <w:szCs w:val="32"/>
          <w:highlight w:val="none"/>
          <w:shd w:val="clear" w:color="auto" w:fill="auto"/>
          <w:lang w:eastAsia="zh-CN" w:bidi="ar-SA"/>
        </w:rPr>
        <w:t>三、</w:t>
      </w:r>
      <w:r>
        <w:rPr>
          <w:rFonts w:hint="eastAsia" w:ascii="黑体" w:hAnsi="黑体" w:eastAsia="黑体" w:cs="黑体"/>
          <w:color w:val="000000" w:themeColor="text1"/>
          <w:spacing w:val="-4"/>
          <w:kern w:val="2"/>
          <w:sz w:val="32"/>
          <w:szCs w:val="32"/>
          <w:highlight w:val="none"/>
          <w:lang w:val="en-US" w:eastAsia="zh-CN"/>
          <w14:textFill>
            <w14:solidFill>
              <w14:schemeClr w14:val="tx1"/>
            </w14:solidFill>
          </w14:textFill>
        </w:rPr>
        <w:t>关于“建立适应外经贸发展需求的合规人才培养机制”的建议</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bCs/>
          <w:color w:val="auto"/>
          <w:sz w:val="32"/>
          <w:szCs w:val="32"/>
          <w:highlight w:val="none"/>
          <w:lang w:eastAsia="zh-CN"/>
        </w:rPr>
      </w:pPr>
      <w:r>
        <w:rPr>
          <w:rFonts w:hint="eastAsia" w:ascii="仿宋_GB2312" w:hAnsi="等线" w:eastAsia="仿宋_GB2312" w:cs="Times New Roman"/>
          <w:b w:val="0"/>
          <w:bCs w:val="0"/>
          <w:color w:val="000000"/>
          <w:sz w:val="32"/>
          <w:szCs w:val="32"/>
          <w:highlight w:val="none"/>
          <w:lang w:val="en-US" w:eastAsia="zh-CN"/>
        </w:rPr>
        <w:t>近年来，我市</w:t>
      </w:r>
      <w:r>
        <w:rPr>
          <w:rFonts w:hint="eastAsia" w:ascii="仿宋_GB2312" w:hAnsi="仿宋_GB2312" w:eastAsia="仿宋_GB2312" w:cs="仿宋_GB2312"/>
          <w:sz w:val="32"/>
          <w:szCs w:val="32"/>
          <w:lang w:val="en-US" w:eastAsia="zh-CN"/>
        </w:rPr>
        <w:t>坚持把全球的市场作为我们的市场、把全球的资源作为我们的资源，推动企业有序开展国际化布局，积极参与国际产业分工合作，</w:t>
      </w:r>
      <w:r>
        <w:rPr>
          <w:rFonts w:hint="eastAsia" w:ascii="仿宋_GB2312" w:hAnsi="等线" w:eastAsia="仿宋_GB2312" w:cs="Times New Roman"/>
          <w:b w:val="0"/>
          <w:bCs w:val="0"/>
          <w:color w:val="000000"/>
          <w:sz w:val="32"/>
          <w:szCs w:val="32"/>
          <w:highlight w:val="none"/>
          <w:lang w:val="en-US" w:eastAsia="zh-CN"/>
        </w:rPr>
        <w:t>在契合国家战略、符合企业发展规律、风险可控的前提下，实现投资规模、覆盖领域、区域布局等维度的有序扩容。</w:t>
      </w:r>
      <w:r>
        <w:rPr>
          <w:rFonts w:hint="eastAsia" w:ascii="仿宋_GB2312" w:hAnsi="仿宋_GB2312" w:eastAsia="仿宋_GB2312" w:cs="仿宋_GB2312"/>
          <w:b/>
          <w:bCs/>
          <w:i w:val="0"/>
          <w:iCs w:val="0"/>
          <w:caps w:val="0"/>
          <w:color w:val="121212"/>
          <w:spacing w:val="0"/>
          <w:kern w:val="0"/>
          <w:sz w:val="32"/>
          <w:szCs w:val="32"/>
          <w:highlight w:val="none"/>
          <w:u w:val="none"/>
          <w:shd w:val="clear" w:fill="auto"/>
          <w:lang w:val="en-US" w:eastAsia="zh-CN" w:bidi="ar"/>
        </w:rPr>
        <w:t>一是</w:t>
      </w:r>
      <w:r>
        <w:rPr>
          <w:rFonts w:hint="eastAsia" w:ascii="仿宋_GB2312" w:hAnsi="仿宋_GB2312" w:eastAsia="仿宋_GB2312" w:cs="仿宋_GB2312"/>
          <w:b w:val="0"/>
          <w:bCs w:val="0"/>
          <w:i w:val="0"/>
          <w:iCs w:val="0"/>
          <w:caps w:val="0"/>
          <w:color w:val="121212"/>
          <w:spacing w:val="0"/>
          <w:kern w:val="0"/>
          <w:sz w:val="32"/>
          <w:szCs w:val="32"/>
          <w:highlight w:val="none"/>
          <w:u w:val="none"/>
          <w:shd w:val="clear" w:fill="auto"/>
          <w:lang w:val="en-US" w:eastAsia="zh-CN" w:bidi="ar"/>
        </w:rPr>
        <w:t>完善</w:t>
      </w:r>
      <w:r>
        <w:rPr>
          <w:rFonts w:hint="eastAsia" w:ascii="仿宋_GB2312" w:hAnsi="仿宋_GB2312" w:eastAsia="仿宋_GB2312" w:cs="仿宋_GB2312"/>
          <w:b w:val="0"/>
          <w:bCs w:val="0"/>
          <w:i w:val="0"/>
          <w:iCs w:val="0"/>
          <w:caps w:val="0"/>
          <w:color w:val="121212"/>
          <w:spacing w:val="0"/>
          <w:kern w:val="0"/>
          <w:sz w:val="32"/>
          <w:szCs w:val="32"/>
          <w:highlight w:val="none"/>
          <w:u w:val="none"/>
          <w:shd w:val="clear" w:fill="auto"/>
          <w:lang w:bidi="ar"/>
        </w:rPr>
        <w:t>多</w:t>
      </w:r>
      <w:r>
        <w:rPr>
          <w:rFonts w:hint="eastAsia" w:ascii="仿宋_GB2312" w:hAnsi="仿宋_GB2312" w:eastAsia="仿宋_GB2312" w:cs="仿宋_GB2312"/>
          <w:b w:val="0"/>
          <w:bCs w:val="0"/>
          <w:i w:val="0"/>
          <w:iCs w:val="0"/>
          <w:caps w:val="0"/>
          <w:color w:val="121212"/>
          <w:spacing w:val="0"/>
          <w:kern w:val="0"/>
          <w:sz w:val="32"/>
          <w:szCs w:val="32"/>
          <w:highlight w:val="none"/>
          <w:u w:val="none"/>
          <w:shd w:val="clear" w:fill="auto"/>
          <w:lang w:val="en-US" w:eastAsia="zh-CN" w:bidi="ar"/>
        </w:rPr>
        <w:t>维</w:t>
      </w:r>
      <w:r>
        <w:rPr>
          <w:rFonts w:hint="eastAsia" w:ascii="仿宋_GB2312" w:hAnsi="仿宋_GB2312" w:eastAsia="仿宋_GB2312" w:cs="仿宋_GB2312"/>
          <w:b w:val="0"/>
          <w:bCs w:val="0"/>
          <w:i w:val="0"/>
          <w:iCs w:val="0"/>
          <w:caps w:val="0"/>
          <w:color w:val="121212"/>
          <w:spacing w:val="0"/>
          <w:kern w:val="0"/>
          <w:sz w:val="32"/>
          <w:szCs w:val="32"/>
          <w:highlight w:val="none"/>
          <w:u w:val="none"/>
          <w:shd w:val="clear" w:fill="auto"/>
          <w:lang w:bidi="ar"/>
        </w:rPr>
        <w:t>专业服务</w:t>
      </w:r>
      <w:r>
        <w:rPr>
          <w:rFonts w:hint="eastAsia" w:ascii="仿宋_GB2312" w:hAnsi="仿宋_GB2312" w:eastAsia="仿宋_GB2312" w:cs="仿宋_GB2312"/>
          <w:b w:val="0"/>
          <w:bCs w:val="0"/>
          <w:i w:val="0"/>
          <w:iCs w:val="0"/>
          <w:caps w:val="0"/>
          <w:color w:val="121212"/>
          <w:spacing w:val="0"/>
          <w:kern w:val="0"/>
          <w:sz w:val="32"/>
          <w:szCs w:val="32"/>
          <w:highlight w:val="none"/>
          <w:u w:val="none"/>
          <w:shd w:val="clear" w:fill="auto"/>
          <w:lang w:val="en-US" w:eastAsia="zh-CN" w:bidi="ar"/>
        </w:rPr>
        <w:t>配套提升企业合规能力</w:t>
      </w:r>
      <w:r>
        <w:rPr>
          <w:rFonts w:hint="eastAsia" w:ascii="仿宋_GB2312" w:hAnsi="仿宋_GB2312" w:eastAsia="仿宋_GB2312" w:cs="仿宋_GB2312"/>
          <w:b w:val="0"/>
          <w:bCs w:val="0"/>
          <w:i w:val="0"/>
          <w:iCs w:val="0"/>
          <w:caps w:val="0"/>
          <w:color w:val="121212"/>
          <w:spacing w:val="0"/>
          <w:kern w:val="0"/>
          <w:sz w:val="32"/>
          <w:szCs w:val="32"/>
          <w:highlight w:val="none"/>
          <w:u w:val="none"/>
          <w:shd w:val="clear" w:fill="auto"/>
          <w:lang w:eastAsia="zh-CN" w:bidi="ar"/>
        </w:rPr>
        <w:t>，</w:t>
      </w:r>
      <w:r>
        <w:rPr>
          <w:rFonts w:hint="default" w:ascii="仿宋_GB2312" w:hAnsi="仿宋_GB2312" w:eastAsia="仿宋_GB2312" w:cs="仿宋_GB2312"/>
          <w:sz w:val="32"/>
          <w:szCs w:val="32"/>
          <w:lang w:eastAsia="zh-CN"/>
        </w:rPr>
        <w:t>建立“走出去”专家智库，全面梳理深港专业服务机构清单，大力吸引具有国际国内影响力的高端专业服务机构来深发展，推动相关部门及会计、法律等专业服务机构做好合规指导、税务筹划等咨询服务，支持我市行业商协会加快国际化发展步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highlight w:val="none"/>
          <w:u w:val="none"/>
          <w:lang w:eastAsia="zh-CN"/>
        </w:rPr>
        <w:t>支持“</w:t>
      </w:r>
      <w:r>
        <w:rPr>
          <w:rFonts w:hint="default" w:ascii="仿宋_GB2312" w:hAnsi="仿宋_GB2312" w:eastAsia="仿宋_GB2312" w:cs="仿宋_GB2312"/>
          <w:color w:val="auto"/>
          <w:sz w:val="32"/>
          <w:szCs w:val="32"/>
          <w:highlight w:val="none"/>
          <w:u w:val="none"/>
          <w:lang w:eastAsia="zh-CN"/>
        </w:rPr>
        <w:t>出海</w:t>
      </w:r>
      <w:r>
        <w:rPr>
          <w:rFonts w:hint="eastAsia" w:ascii="仿宋_GB2312" w:hAnsi="仿宋_GB2312" w:eastAsia="仿宋_GB2312" w:cs="仿宋_GB2312"/>
          <w:color w:val="auto"/>
          <w:sz w:val="32"/>
          <w:szCs w:val="32"/>
          <w:highlight w:val="none"/>
          <w:u w:val="none"/>
          <w:lang w:eastAsia="zh-CN"/>
        </w:rPr>
        <w:t>”企业和服务机构建立合规经营</w:t>
      </w:r>
      <w:r>
        <w:rPr>
          <w:rFonts w:hint="eastAsia" w:ascii="仿宋_GB2312" w:hAnsi="仿宋_GB2312" w:eastAsia="仿宋_GB2312" w:cs="仿宋_GB2312"/>
          <w:color w:val="auto"/>
          <w:sz w:val="32"/>
          <w:szCs w:val="32"/>
          <w:highlight w:val="none"/>
          <w:u w:val="none"/>
          <w:lang w:val="en-US" w:eastAsia="zh-CN"/>
        </w:rPr>
        <w:t>制度</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b/>
          <w:bCs/>
          <w:color w:val="121212"/>
          <w:kern w:val="0"/>
          <w:sz w:val="32"/>
          <w:szCs w:val="32"/>
          <w:highlight w:val="none"/>
          <w:u w:val="none"/>
          <w:shd w:val="clear" w:fill="auto"/>
          <w:lang w:val="en-US" w:eastAsia="zh-CN" w:bidi="ar"/>
        </w:rPr>
        <w:t>二是</w:t>
      </w:r>
      <w:r>
        <w:rPr>
          <w:rFonts w:hint="eastAsia" w:ascii="仿宋_GB2312" w:hAnsi="仿宋_GB2312" w:eastAsia="仿宋_GB2312" w:cs="仿宋_GB2312"/>
          <w:b w:val="0"/>
          <w:bCs w:val="0"/>
          <w:color w:val="121212"/>
          <w:kern w:val="0"/>
          <w:sz w:val="32"/>
          <w:szCs w:val="32"/>
          <w:highlight w:val="none"/>
          <w:u w:val="none"/>
          <w:shd w:val="clear" w:fill="auto"/>
          <w:lang w:eastAsia="zh-CN" w:bidi="ar"/>
        </w:rPr>
        <w:t>健全对外投资管理服务体系，</w:t>
      </w:r>
      <w:r>
        <w:rPr>
          <w:rFonts w:hint="eastAsia" w:ascii="仿宋_GB2312" w:hAnsi="仿宋_GB2312" w:eastAsia="仿宋_GB2312" w:cs="仿宋_GB2312"/>
          <w:b w:val="0"/>
          <w:bCs w:val="0"/>
          <w:i w:val="0"/>
          <w:iCs w:val="0"/>
          <w:caps w:val="0"/>
          <w:color w:val="auto"/>
          <w:spacing w:val="0"/>
          <w:kern w:val="0"/>
          <w:sz w:val="32"/>
          <w:szCs w:val="32"/>
          <w:highlight w:val="none"/>
          <w:u w:val="none"/>
          <w:shd w:val="clear" w:color="auto" w:fill="auto"/>
          <w:lang w:eastAsia="zh-CN"/>
        </w:rPr>
        <w:t>打造</w:t>
      </w:r>
      <w:r>
        <w:rPr>
          <w:rFonts w:hint="eastAsia" w:ascii="仿宋_GB2312" w:hAnsi="仿宋_GB2312" w:eastAsia="仿宋_GB2312" w:cs="仿宋_GB2312"/>
          <w:b w:val="0"/>
          <w:bCs w:val="0"/>
          <w:color w:val="auto"/>
          <w:kern w:val="0"/>
          <w:sz w:val="32"/>
          <w:szCs w:val="32"/>
          <w:highlight w:val="none"/>
          <w:u w:val="none"/>
          <w:lang w:eastAsia="zh-CN"/>
        </w:rPr>
        <w:t>“线上线下、国内海外”全覆盖的“</w:t>
      </w:r>
      <w:r>
        <w:rPr>
          <w:rFonts w:hint="default" w:ascii="仿宋_GB2312" w:hAnsi="仿宋_GB2312" w:eastAsia="仿宋_GB2312" w:cs="仿宋_GB2312"/>
          <w:b w:val="0"/>
          <w:bCs w:val="0"/>
          <w:color w:val="auto"/>
          <w:kern w:val="0"/>
          <w:sz w:val="32"/>
          <w:szCs w:val="32"/>
          <w:highlight w:val="none"/>
          <w:u w:val="none"/>
          <w:lang w:eastAsia="zh-CN"/>
        </w:rPr>
        <w:t>出海</w:t>
      </w:r>
      <w:r>
        <w:rPr>
          <w:rFonts w:hint="eastAsia" w:ascii="仿宋_GB2312" w:hAnsi="仿宋_GB2312" w:eastAsia="仿宋_GB2312" w:cs="仿宋_GB2312"/>
          <w:b w:val="0"/>
          <w:bCs w:val="0"/>
          <w:color w:val="auto"/>
          <w:kern w:val="0"/>
          <w:sz w:val="32"/>
          <w:szCs w:val="32"/>
          <w:highlight w:val="none"/>
          <w:u w:val="none"/>
          <w:lang w:eastAsia="zh-CN"/>
        </w:rPr>
        <w:t>”综合服务</w:t>
      </w:r>
      <w:r>
        <w:rPr>
          <w:rFonts w:hint="default" w:ascii="仿宋_GB2312" w:hAnsi="仿宋_GB2312" w:eastAsia="仿宋_GB2312" w:cs="仿宋_GB2312"/>
          <w:b w:val="0"/>
          <w:bCs w:val="0"/>
          <w:color w:val="auto"/>
          <w:kern w:val="0"/>
          <w:sz w:val="32"/>
          <w:szCs w:val="32"/>
          <w:highlight w:val="none"/>
          <w:u w:val="none"/>
          <w:lang w:eastAsia="zh-CN"/>
        </w:rPr>
        <w:t>体系</w:t>
      </w:r>
      <w:r>
        <w:rPr>
          <w:rFonts w:hint="eastAsia" w:ascii="仿宋_GB2312" w:hAnsi="仿宋_GB2312" w:eastAsia="仿宋_GB2312" w:cs="仿宋_GB2312"/>
          <w:b w:val="0"/>
          <w:bCs w:val="0"/>
          <w:color w:val="auto"/>
          <w:kern w:val="0"/>
          <w:sz w:val="32"/>
          <w:szCs w:val="32"/>
          <w:highlight w:val="none"/>
          <w:u w:val="none"/>
          <w:lang w:eastAsia="zh-CN"/>
        </w:rPr>
        <w:t>，</w:t>
      </w:r>
      <w:r>
        <w:rPr>
          <w:rFonts w:hint="default" w:ascii="仿宋_GB2312" w:hAnsi="仿宋_GB2312" w:eastAsia="仿宋_GB2312" w:cs="仿宋_GB2312"/>
          <w:sz w:val="32"/>
          <w:szCs w:val="32"/>
          <w:lang w:eastAsia="zh-CN"/>
        </w:rPr>
        <w:t>推动整合全市海外政务服务资源，建立</w:t>
      </w:r>
      <w:r>
        <w:rPr>
          <w:rFonts w:hint="eastAsia" w:ascii="仿宋_GB2312" w:hAnsi="仿宋_GB2312" w:eastAsia="仿宋_GB2312" w:cs="仿宋_GB2312"/>
          <w:sz w:val="32"/>
          <w:szCs w:val="32"/>
          <w:lang w:eastAsia="zh-CN"/>
        </w:rPr>
        <w:t>健全</w:t>
      </w:r>
      <w:r>
        <w:rPr>
          <w:rFonts w:hint="default" w:ascii="仿宋_GB2312" w:hAnsi="仿宋_GB2312" w:eastAsia="仿宋_GB2312" w:cs="仿宋_GB2312"/>
          <w:sz w:val="32"/>
          <w:szCs w:val="32"/>
          <w:lang w:eastAsia="zh-CN"/>
        </w:rPr>
        <w:t>深圳市全球经贸资源和信息共享机制，建设</w:t>
      </w:r>
      <w:r>
        <w:rPr>
          <w:rFonts w:hint="eastAsia" w:ascii="仿宋_GB2312" w:hAnsi="仿宋_GB2312" w:eastAsia="仿宋_GB2312" w:cs="仿宋_GB2312"/>
          <w:sz w:val="32"/>
          <w:szCs w:val="32"/>
          <w:lang w:val="en-US" w:eastAsia="zh-CN"/>
        </w:rPr>
        <w:t>完善</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深圳企业海外综合服务平台—深圳·前海</w:t>
      </w:r>
      <w:r>
        <w:rPr>
          <w:rFonts w:hint="eastAsia" w:ascii="仿宋_GB2312" w:hAnsi="仿宋_GB2312" w:eastAsia="仿宋_GB2312" w:cs="仿宋_GB2312"/>
          <w:sz w:val="32"/>
          <w:szCs w:val="32"/>
          <w:lang w:val="en-US" w:eastAsia="zh-CN"/>
        </w:rPr>
        <w:t>出海</w:t>
      </w:r>
      <w:r>
        <w:rPr>
          <w:rFonts w:hint="default" w:ascii="仿宋_GB2312" w:hAnsi="仿宋_GB2312" w:eastAsia="仿宋_GB2312" w:cs="仿宋_GB2312"/>
          <w:sz w:val="32"/>
          <w:szCs w:val="32"/>
          <w:lang w:eastAsia="zh-CN"/>
        </w:rPr>
        <w:t>e站通</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lang w:eastAsia="zh-CN"/>
        </w:rPr>
        <w:t>，定期发布境外投资合作业务、风险防范、国别（地区）投资指南等政策信息。</w:t>
      </w:r>
      <w:r>
        <w:rPr>
          <w:rFonts w:hint="eastAsia" w:ascii="仿宋_GB2312" w:hAnsi="仿宋_GB2312" w:eastAsia="仿宋_GB2312" w:cs="仿宋_GB2312"/>
          <w:b/>
          <w:bCs/>
          <w:color w:val="121212"/>
          <w:kern w:val="0"/>
          <w:sz w:val="32"/>
          <w:szCs w:val="32"/>
          <w:highlight w:val="none"/>
          <w:u w:val="none"/>
          <w:shd w:val="clear" w:fill="auto"/>
          <w:lang w:val="en-US" w:eastAsia="zh-CN" w:bidi="ar"/>
        </w:rPr>
        <w:t>三是</w:t>
      </w:r>
      <w:r>
        <w:rPr>
          <w:rFonts w:hint="eastAsia" w:ascii="仿宋_GB2312" w:hAnsi="仿宋_GB2312" w:eastAsia="仿宋_GB2312" w:cs="仿宋_GB2312"/>
          <w:b w:val="0"/>
          <w:bCs w:val="0"/>
          <w:color w:val="auto"/>
          <w:sz w:val="32"/>
          <w:szCs w:val="32"/>
          <w:highlight w:val="none"/>
          <w:u w:val="none"/>
          <w:lang w:val="en-US" w:eastAsia="zh-CN"/>
        </w:rPr>
        <w:t>建立健全</w:t>
      </w:r>
      <w:r>
        <w:rPr>
          <w:rFonts w:hint="default" w:ascii="仿宋_GB2312" w:hAnsi="仿宋_GB2312" w:eastAsia="仿宋_GB2312" w:cs="仿宋_GB2312"/>
          <w:b w:val="0"/>
          <w:bCs w:val="0"/>
          <w:color w:val="auto"/>
          <w:sz w:val="32"/>
          <w:szCs w:val="32"/>
          <w:highlight w:val="none"/>
          <w:u w:val="none"/>
          <w:lang w:val="en-US" w:eastAsia="zh-CN"/>
        </w:rPr>
        <w:t>事前精准预警，事中协同应对，事后有效支持的深圳贸易摩擦应对工作机制，</w:t>
      </w:r>
      <w:r>
        <w:rPr>
          <w:rFonts w:hint="eastAsia" w:ascii="仿宋_GB2312" w:hAnsi="仿宋_GB2312" w:eastAsia="仿宋_GB2312" w:cs="仿宋_GB2312"/>
          <w:sz w:val="32"/>
          <w:szCs w:val="32"/>
          <w:lang w:val="en-US" w:eastAsia="zh-CN"/>
        </w:rPr>
        <w:t>加强对重点企业的风险预警和应对指导，协调解决困难诉求，提升企业风险防控能力。</w:t>
      </w:r>
      <w:r>
        <w:rPr>
          <w:rFonts w:hint="eastAsia" w:ascii="仿宋_GB2312" w:hAnsi="仿宋_GB2312" w:eastAsia="仿宋_GB2312" w:cs="仿宋_GB2312"/>
          <w:b/>
          <w:bCs/>
          <w:color w:val="121212"/>
          <w:kern w:val="0"/>
          <w:sz w:val="32"/>
          <w:szCs w:val="32"/>
          <w:highlight w:val="none"/>
          <w:u w:val="none"/>
          <w:shd w:val="clear" w:fill="auto"/>
          <w:lang w:val="en-US" w:eastAsia="zh-CN" w:bidi="ar"/>
        </w:rPr>
        <w:t>四是</w:t>
      </w:r>
      <w:r>
        <w:rPr>
          <w:rFonts w:hint="eastAsia" w:ascii="仿宋_GB2312" w:hAnsi="仿宋_GB2312" w:eastAsia="仿宋_GB2312" w:cs="仿宋_GB2312"/>
          <w:sz w:val="32"/>
          <w:szCs w:val="32"/>
        </w:rPr>
        <w:t>建立健全精准化、智能化、高效化的信息共享与风险预警机制，积极举办企业国际化布局系列线上线下培训和宣讲会，推动企业提升防范化解安全风险的意识和能力，保障我市产业链、供应链安全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t>立足前海开放政策优势，将打造依托香港、服务内地、面向世界的一流国际法律服务高地作为目标定位，以构建“两中心一高地”的功能</w:t>
      </w:r>
      <w:r>
        <w:rPr>
          <w:rFonts w:hint="eastAsia" w:ascii="仿宋_GB2312" w:hAnsi="仿宋_GB2312" w:eastAsia="仿宋_GB2312" w:cs="仿宋_GB2312"/>
          <w:b w:val="0"/>
          <w:bCs w:val="0"/>
          <w:color w:val="000000" w:themeColor="text1"/>
          <w:spacing w:val="-4"/>
          <w:kern w:val="2"/>
          <w:sz w:val="32"/>
          <w:szCs w:val="32"/>
          <w:lang w:eastAsia="zh-CN"/>
          <w14:textFill>
            <w14:solidFill>
              <w14:schemeClr w14:val="tx1"/>
            </w14:solidFill>
          </w14:textFill>
        </w:rPr>
        <w:t>布局作为具体路径，</w:t>
      </w:r>
      <w:r>
        <w:rPr>
          <w:rFonts w:hint="eastAsia" w:ascii="仿宋_GB2312" w:hAnsi="仿宋_GB2312" w:eastAsia="仿宋_GB2312" w:cs="仿宋_GB2312"/>
          <w:b w:val="0"/>
          <w:bCs w:val="0"/>
          <w:sz w:val="32"/>
          <w:szCs w:val="32"/>
          <w:lang w:val="en-US" w:eastAsia="zh-CN"/>
        </w:rPr>
        <w:t>持续推进</w:t>
      </w:r>
      <w:r>
        <w:rPr>
          <w:rFonts w:hint="eastAsia" w:ascii="仿宋_GB2312" w:hAnsi="仿宋_GB2312" w:eastAsia="仿宋_GB2312" w:cs="仿宋_GB2312"/>
          <w:b w:val="0"/>
          <w:bCs w:val="0"/>
          <w:color w:val="000000" w:themeColor="text1"/>
          <w:spacing w:val="-4"/>
          <w:kern w:val="2"/>
          <w:sz w:val="32"/>
          <w:szCs w:val="32"/>
          <w:lang w:eastAsia="zh-CN"/>
          <w14:textFill>
            <w14:solidFill>
              <w14:schemeClr w14:val="tx1"/>
            </w14:solidFill>
          </w14:textFill>
        </w:rPr>
        <w:t>前海深港国际法务区</w:t>
      </w:r>
      <w:r>
        <w:rPr>
          <w:rFonts w:hint="eastAsia" w:ascii="仿宋_GB2312" w:hAnsi="仿宋_GB2312" w:eastAsia="仿宋_GB2312" w:cs="仿宋_GB2312"/>
          <w:b w:val="0"/>
          <w:bCs w:val="0"/>
          <w:color w:val="000000" w:themeColor="text1"/>
          <w:spacing w:val="-4"/>
          <w:kern w:val="2"/>
          <w:sz w:val="32"/>
          <w:szCs w:val="32"/>
          <w:lang w:val="en-US" w:eastAsia="zh-CN"/>
          <w14:textFill>
            <w14:solidFill>
              <w14:schemeClr w14:val="tx1"/>
            </w14:solidFill>
          </w14:textFill>
        </w:rPr>
        <w:t>建设，依托</w:t>
      </w:r>
      <w:r>
        <w:rPr>
          <w:rFonts w:hint="eastAsia" w:ascii="仿宋_GB2312" w:hAnsi="仿宋_GB2312" w:eastAsia="仿宋_GB2312" w:cs="仿宋_GB2312"/>
          <w:b w:val="0"/>
          <w:bCs w:val="0"/>
          <w:color w:val="000000" w:themeColor="text1"/>
          <w:spacing w:val="-4"/>
          <w:kern w:val="2"/>
          <w:sz w:val="32"/>
          <w:szCs w:val="32"/>
          <w:lang w:eastAsia="zh-CN"/>
          <w14:textFill>
            <w14:solidFill>
              <w14:schemeClr w14:val="tx1"/>
            </w14:solidFill>
          </w14:textFill>
        </w:rPr>
        <w:t>国家海外知识产</w:t>
      </w:r>
      <w:r>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t>权纠纷应对指导中心深圳分中心，着力构建以严保护、快保护、大保护为特色的国际知识产权保护新高地。</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Fonts w:hint="eastAsia" w:ascii="黑体" w:hAnsi="黑体" w:eastAsia="黑体" w:cs="黑体"/>
          <w:color w:val="000000" w:themeColor="text1"/>
          <w:spacing w:val="-4"/>
          <w:kern w:val="2"/>
          <w:sz w:val="32"/>
          <w:szCs w:val="32"/>
          <w:highlight w:val="none"/>
          <w:lang w:val="en-US" w:eastAsia="zh-CN"/>
          <w14:textFill>
            <w14:solidFill>
              <w14:schemeClr w14:val="tx1"/>
            </w14:solidFill>
          </w14:textFill>
        </w:rPr>
      </w:pPr>
      <w:r>
        <w:rPr>
          <w:rFonts w:hint="eastAsia" w:ascii="黑体" w:hAnsi="黑体" w:eastAsia="黑体" w:cs="黑体"/>
          <w:color w:val="000000" w:themeColor="text1"/>
          <w:spacing w:val="-4"/>
          <w:kern w:val="2"/>
          <w:sz w:val="32"/>
          <w:szCs w:val="32"/>
          <w:highlight w:val="none"/>
          <w:lang w:val="en-US" w:eastAsia="zh-CN"/>
          <w14:textFill>
            <w14:solidFill>
              <w14:schemeClr w14:val="tx1"/>
            </w14:solidFill>
          </w14:textFill>
        </w:rPr>
        <w:t>四、关于“AI技术等数字化平台赋能优化跨境贸易营商环境”的建议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lang w:val="en-US" w:eastAsia="zh-CN"/>
        </w:rPr>
      </w:pPr>
      <w:r>
        <w:rPr>
          <w:rFonts w:hint="eastAsia" w:ascii="仿宋_GB2312" w:hAnsi="仿宋_GB2312" w:eastAsia="仿宋_GB2312" w:cs="仿宋_GB2312"/>
          <w:sz w:val="32"/>
          <w:szCs w:val="32"/>
          <w:lang w:val="en-US" w:eastAsia="zh-CN"/>
        </w:rPr>
        <w:t>我市已连续6年按照国家部署开展跨境贸易便利化专项行动，全市跨境贸易便利化水平持续提升，整体通关时间不断压缩，通关效能进一步提高。</w:t>
      </w:r>
      <w:r>
        <w:rPr>
          <w:rFonts w:hint="eastAsia" w:ascii="仿宋_GB2312" w:hAnsi="仿宋_GB2312" w:eastAsia="仿宋_GB2312" w:cs="仿宋_GB2312"/>
          <w:b/>
          <w:bCs/>
          <w:color w:val="000000" w:themeColor="text1"/>
          <w:spacing w:val="-4"/>
          <w:kern w:val="2"/>
          <w:sz w:val="32"/>
          <w:szCs w:val="32"/>
          <w:lang w:val="en-US" w:eastAsia="zh-CN"/>
          <w14:textFill>
            <w14:solidFill>
              <w14:schemeClr w14:val="tx1"/>
            </w14:solidFill>
          </w14:textFill>
        </w:rPr>
        <w:t>一是</w:t>
      </w:r>
      <w:r>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t>支持供应链企业、数字化服务商对接</w:t>
      </w:r>
      <w:r>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t>深圳国际贸易“单一窗口”，</w:t>
      </w:r>
      <w:r>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t>拓展</w:t>
      </w:r>
      <w:r>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t>“</w:t>
      </w:r>
      <w:r>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t>智能报关</w:t>
      </w:r>
      <w:r>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t>”“智慧税则”“智能拓客”“海事出口岸联系单智能申报”“保税智能交单”等多项便利化数字服务功能，</w:t>
      </w:r>
      <w:r>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t>助力</w:t>
      </w:r>
      <w:r>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t>外贸企业实现数字化转型，降低</w:t>
      </w:r>
      <w:r>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t>经营成本。通过供应链数字化平台赋能，大力推进跨境电商集聚区建设，营造跨境电商发展良性生态圈。</w:t>
      </w:r>
      <w:r>
        <w:rPr>
          <w:rFonts w:hint="eastAsia" w:ascii="仿宋_GB2312" w:hAnsi="仿宋_GB2312" w:eastAsia="仿宋_GB2312" w:cs="仿宋_GB2312"/>
          <w:b/>
          <w:bCs/>
          <w:color w:val="000000" w:themeColor="text1"/>
          <w:spacing w:val="-4"/>
          <w:kern w:val="2"/>
          <w:sz w:val="32"/>
          <w:szCs w:val="32"/>
          <w:lang w:val="en-US" w:eastAsia="zh-CN"/>
          <w14:textFill>
            <w14:solidFill>
              <w14:schemeClr w14:val="tx1"/>
            </w14:solidFill>
          </w14:textFill>
        </w:rPr>
        <w:t>二是</w:t>
      </w:r>
      <w:r>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t>积极参与亚太示范电子口岸网络（APMEN）国际合作机制，依托该机制探索开展“一次申报、双边通关”试点，与香港、新加坡等APMEN成员加强合作，推进无纸化跨境贸易合作。</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color w:val="000000" w:themeColor="text1"/>
          <w:spacing w:val="-4"/>
          <w:kern w:val="2"/>
          <w:sz w:val="32"/>
          <w:szCs w:val="32"/>
          <w:highlight w:val="none"/>
          <w:lang w:val="en-US" w:eastAsia="zh-CN"/>
          <w14:textFill>
            <w14:solidFill>
              <w14:schemeClr w14:val="tx1"/>
            </w14:solidFill>
          </w14:textFill>
        </w:rPr>
        <w:t>积极推动加工贸易高质量发展，拓展企业集团加工贸易监管模式适用范围，赋能总部经济发展，深化ERP智能化联网监管，为保税研发、保税检测、保税维修、国际分拨等“保税+”新兴业态提供支撑，提供更加高效协同的顺势监管服务，支持符合条件的企业申报区外保税维修业务试点，稳步推进产业链供应链全球化合理布局，带动中间品贸易进出口。</w:t>
      </w:r>
      <w:r>
        <w:rPr>
          <w:rFonts w:hint="eastAsia" w:ascii="仿宋_GB2312" w:hAnsi="仿宋_GB2312" w:eastAsia="仿宋_GB2312" w:cs="仿宋_GB2312"/>
          <w:b/>
          <w:bCs/>
          <w:kern w:val="2"/>
          <w:sz w:val="32"/>
          <w:szCs w:val="32"/>
          <w:lang w:val="en-US" w:eastAsia="zh-CN" w:bidi="ar-SA"/>
        </w:rPr>
        <w:t>四是</w:t>
      </w:r>
      <w:r>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t>持续加大离岸贸易企业培育力度，</w:t>
      </w:r>
      <w:r>
        <w:rPr>
          <w:rFonts w:hint="eastAsia" w:ascii="仿宋_GB2312" w:hAnsi="仿宋_GB2312" w:eastAsia="仿宋_GB2312" w:cs="仿宋_GB2312"/>
          <w:color w:val="auto"/>
          <w:sz w:val="32"/>
          <w:szCs w:val="32"/>
          <w:lang w:val="en-US" w:eastAsia="zh-CN"/>
        </w:rPr>
        <w:t>依托前海平台推动离岸贸易发</w:t>
      </w:r>
      <w:r>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t>展和深港离岸贸易跨境合作，</w:t>
      </w:r>
      <w:r>
        <w:rPr>
          <w:rFonts w:hint="eastAsia" w:ascii="仿宋_GB2312" w:hAnsi="仿宋_GB2312" w:eastAsia="仿宋_GB2312" w:cs="仿宋_GB2312"/>
          <w:color w:val="auto"/>
          <w:sz w:val="32"/>
          <w:szCs w:val="32"/>
          <w:lang w:val="en-US" w:eastAsia="zh-CN"/>
        </w:rPr>
        <w:t>用足用好离岸贸易印花税优惠等政策，支持商业银行为真实合法的离岸贸易提供经常项下外汇结算便利服务，</w:t>
      </w:r>
      <w:r>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t>应用5G、云计算、大数据、区块链和物联网等技术，建设“多方协作+信息共享”大数据平台。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pPr>
      <w:r>
        <w:rPr>
          <w:rFonts w:hint="eastAsia" w:ascii="仿宋_GB2312" w:hAnsi="仿宋_GB2312" w:eastAsia="仿宋_GB2312" w:cs="仿宋_GB2312"/>
          <w:sz w:val="32"/>
          <w:szCs w:val="32"/>
          <w:lang w:eastAsia="zh-CN"/>
        </w:rPr>
        <w:t>专此答复。诚挚感谢您的宝贵建议。</w:t>
      </w:r>
    </w:p>
    <w:p>
      <w:pPr>
        <w:pStyle w:val="1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pPr>
    </w:p>
    <w:p>
      <w:pPr>
        <w:pStyle w:val="1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pPr>
    </w:p>
    <w:p>
      <w:pPr>
        <w:pStyle w:val="13"/>
        <w:keepNext w:val="0"/>
        <w:keepLines w:val="0"/>
        <w:pageBreakBefore w:val="0"/>
        <w:widowControl w:val="0"/>
        <w:kinsoku/>
        <w:wordWrap/>
        <w:overflowPunct/>
        <w:topLinePunct w:val="0"/>
        <w:autoSpaceDE/>
        <w:autoSpaceDN/>
        <w:bidi w:val="0"/>
        <w:adjustRightInd/>
        <w:snapToGrid/>
        <w:spacing w:line="560" w:lineRule="exact"/>
        <w:ind w:firstLine="5715" w:firstLineChars="1832"/>
        <w:textAlignment w:val="auto"/>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t>深圳市商务局</w:t>
      </w:r>
    </w:p>
    <w:p>
      <w:pPr>
        <w:pStyle w:val="13"/>
        <w:keepNext w:val="0"/>
        <w:keepLines w:val="0"/>
        <w:pageBreakBefore w:val="0"/>
        <w:widowControl w:val="0"/>
        <w:kinsoku/>
        <w:wordWrap/>
        <w:overflowPunct/>
        <w:topLinePunct w:val="0"/>
        <w:autoSpaceDE/>
        <w:autoSpaceDN/>
        <w:bidi w:val="0"/>
        <w:adjustRightInd/>
        <w:snapToGrid/>
        <w:spacing w:line="560" w:lineRule="exact"/>
        <w:ind w:firstLine="5460" w:firstLineChars="1750"/>
        <w:textAlignment w:val="auto"/>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t>2025年8月14日</w:t>
      </w:r>
    </w:p>
    <w:p>
      <w:pPr>
        <w:pStyle w:val="1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pacing w:val="-4"/>
          <w:kern w:val="2"/>
          <w:sz w:val="32"/>
          <w:szCs w:val="32"/>
          <w:lang w:val="en-US" w:eastAsia="zh-CN"/>
          <w14:textFill>
            <w14:solidFill>
              <w14:schemeClr w14:val="tx1"/>
            </w14:solidFill>
          </w14:textFill>
        </w:rPr>
      </w:pPr>
    </w:p>
    <w:p>
      <w:pPr>
        <w:pStyle w:val="1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pacing w:val="-4"/>
          <w:kern w:val="2"/>
          <w:sz w:val="32"/>
          <w:szCs w:val="32"/>
          <w:lang w:eastAsia="zh-CN"/>
          <w14:textFill>
            <w14:solidFill>
              <w14:schemeClr w14:val="tx1"/>
            </w14:solidFill>
          </w14:textFill>
        </w:rPr>
      </w:pPr>
      <w:bookmarkStart w:id="0" w:name="_GoBack"/>
      <w:bookmarkEnd w:id="0"/>
    </w:p>
    <w:sectPr>
      <w:footerReference r:id="rId3" w:type="default"/>
      <w:pgSz w:w="11906" w:h="16838"/>
      <w:pgMar w:top="1814" w:right="1474" w:bottom="181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文星仿宋">
    <w:altName w:val="方正仿宋_GBK"/>
    <w:panose1 w:val="00000000000000000000"/>
    <w:charset w:val="00"/>
    <w:family w:val="auto"/>
    <w:pitch w:val="default"/>
    <w:sig w:usb0="00000000" w:usb1="00000000" w:usb2="00000010"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028843BA"/>
    <w:rsid w:val="3F774B82"/>
    <w:rsid w:val="3FCF8E00"/>
    <w:rsid w:val="49B80B02"/>
    <w:rsid w:val="4A1947CF"/>
    <w:rsid w:val="5B0EC747"/>
    <w:rsid w:val="6FAE2C8C"/>
    <w:rsid w:val="788D61C2"/>
    <w:rsid w:val="7AC7C08C"/>
    <w:rsid w:val="7D730463"/>
    <w:rsid w:val="7DDAB3F2"/>
    <w:rsid w:val="7FFB5836"/>
    <w:rsid w:val="ADD5C85E"/>
    <w:rsid w:val="B3D1E6ED"/>
    <w:rsid w:val="BA356828"/>
    <w:rsid w:val="BAFE5253"/>
    <w:rsid w:val="BD3F9034"/>
    <w:rsid w:val="BE3FA4B8"/>
    <w:rsid w:val="DDED7158"/>
    <w:rsid w:val="E4ACB008"/>
    <w:rsid w:val="EDAF1333"/>
    <w:rsid w:val="EDB61BB7"/>
    <w:rsid w:val="F7FA44C1"/>
    <w:rsid w:val="F7FFF489"/>
    <w:rsid w:val="FC96F6D9"/>
    <w:rsid w:val="FCBFE679"/>
    <w:rsid w:val="FCF39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Subtitle"/>
    <w:basedOn w:val="1"/>
    <w:next w:val="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7">
    <w:name w:val="Body Text 2"/>
    <w:basedOn w:val="1"/>
    <w:uiPriority w:val="0"/>
    <w:pPr>
      <w:widowControl w:val="0"/>
      <w:spacing w:before="240"/>
      <w:jc w:val="both"/>
    </w:pPr>
    <w:rPr>
      <w:rFonts w:ascii="Calibri" w:hAnsi="Calibri" w:eastAsia="宋体" w:cs="Times New Roman"/>
      <w:color w:val="FF0000"/>
      <w:kern w:val="0"/>
      <w:sz w:val="21"/>
      <w:szCs w:val="20"/>
      <w:lang w:val="en-US" w:eastAsia="zh-CN" w:bidi="ar-SA"/>
    </w:rPr>
  </w:style>
  <w:style w:type="paragraph" w:styleId="8">
    <w:name w:val="Title"/>
    <w:basedOn w:val="1"/>
    <w:next w:val="1"/>
    <w:qFormat/>
    <w:uiPriority w:val="0"/>
    <w:pPr>
      <w:ind w:firstLine="880"/>
      <w:jc w:val="center"/>
    </w:pPr>
    <w:rPr>
      <w:rFonts w:ascii="宋体" w:hAnsi="宋体" w:eastAsia="宋体" w:cs="Times New Roman"/>
      <w:sz w:val="44"/>
      <w:szCs w:val="44"/>
    </w:rPr>
  </w:style>
  <w:style w:type="paragraph" w:styleId="9">
    <w:name w:val="Body Text First Indent"/>
    <w:basedOn w:val="2"/>
    <w:qFormat/>
    <w:uiPriority w:val="0"/>
    <w:pPr>
      <w:spacing w:after="0"/>
      <w:ind w:firstLine="420" w:firstLineChars="100"/>
    </w:pPr>
    <w:rPr>
      <w:rFonts w:ascii="Calibri" w:hAnsi="Calibri" w:eastAsia="文星仿宋" w:cs="Times New Roman"/>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样式 1 三号"/>
    <w:qFormat/>
    <w:uiPriority w:val="0"/>
    <w:pPr>
      <w:widowControl w:val="0"/>
      <w:spacing w:line="560" w:lineRule="exact"/>
      <w:jc w:val="both"/>
    </w:pPr>
    <w:rPr>
      <w:rFonts w:ascii="Times New Roman" w:hAnsi="Times New Roman" w:eastAsia="方正仿宋_GBK" w:cs="Times New Roman"/>
      <w:spacing w:val="-4"/>
      <w:kern w:val="2"/>
      <w:sz w:val="32"/>
      <w:lang w:val="en-US" w:eastAsia="zh-CN" w:bidi="ar-SA"/>
    </w:rPr>
  </w:style>
  <w:style w:type="paragraph" w:customStyle="1" w:styleId="14">
    <w:name w:val="文件正文"/>
    <w:basedOn w:val="6"/>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15">
    <w:name w:val="正文 New"/>
    <w:qFormat/>
    <w:uiPriority w:val="0"/>
    <w:pPr>
      <w:widowControl w:val="0"/>
      <w:jc w:val="both"/>
    </w:pPr>
    <w:rPr>
      <w:rFonts w:ascii="Calibri" w:hAnsi="Calibri" w:eastAsia="宋体" w:cs="黑体"/>
      <w:kern w:val="2"/>
      <w:sz w:val="21"/>
      <w:szCs w:val="21"/>
      <w:lang w:val="en-US" w:eastAsia="zh-CN" w:bidi="ar-SA"/>
    </w:rPr>
  </w:style>
  <w:style w:type="paragraph" w:customStyle="1" w:styleId="16">
    <w:name w:val="_Style 1"/>
    <w:basedOn w:val="1"/>
    <w:next w:val="1"/>
    <w:qFormat/>
    <w:uiPriority w:val="0"/>
    <w:pPr>
      <w:ind w:firstLine="200" w:firstLineChars="200"/>
    </w:pPr>
    <w:rPr>
      <w:rFonts w:ascii="宋体" w:hAnsi="宋体" w:eastAsia="仿宋_GB2312" w:cs="Times New Roman"/>
      <w:sz w:val="32"/>
      <w:szCs w:val="32"/>
    </w:rPr>
  </w:style>
  <w:style w:type="paragraph" w:customStyle="1" w:styleId="17">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18">
    <w:name w:val="BodyText"/>
    <w:basedOn w:val="1"/>
    <w:next w:val="8"/>
    <w:qFormat/>
    <w:uiPriority w:val="0"/>
    <w:pPr>
      <w:spacing w:line="600" w:lineRule="atLeast"/>
      <w:jc w:val="center"/>
      <w:textAlignment w:val="baseline"/>
    </w:pPr>
    <w:rPr>
      <w:rFonts w:ascii="Times New Roman" w:hAnsi="Times New Roman"/>
      <w:kern w:val="2"/>
      <w:sz w:val="44"/>
      <w:szCs w:val="24"/>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2022-08-09T01:03:00Z</dcterms:created>
  <dc:creator>禾禾</dc:creator>
  <cp:lastModifiedBy>文件收发（黄俊源）</cp:lastModifiedBy>
  <cp:lastPrinted>2022-08-11T19:42:00Z</cp:lastPrinted>
  <dcterms:modified xsi:type="dcterms:W3CDTF">2025-11-04T16:08:13Z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80763175DD1D1936D76D95682706CF73</vt:lpwstr>
  </property>
  <property fmtid="{D5CDD505-2E9C-101B-9397-08002B2CF9AE}" pid="4" name="KSOTemplateDocerSaveRecord">
    <vt:lpwstr>eyJoZGlkIjoiZjMxZjRlZmY2YTM3ZmZjMTA3YzViOWY5ZjUxZmE4MGYiLCJ1c2VySWQiOiI1MDkzNzQyNjEifQ==</vt:lpwstr>
  </property>
</Properties>
</file>