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深圳市商务局关于对市政协七届五次会议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第20250095号建议答复意见的函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尊敬的周志贤代表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5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您在市政协七届五次会议上的《关于全面深化支持深圳企业“走出去”战略的建议》的提案收悉</w:t>
      </w:r>
      <w:r>
        <w:rPr>
          <w:rFonts w:hint="default" w:ascii="仿宋_GB2312" w:eastAsia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经认真研究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现就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</w:rPr>
        <w:t>建议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答复如下</w:t>
      </w:r>
      <w:r>
        <w:rPr>
          <w:rFonts w:hint="eastAsia" w:ascii="仿宋_GB2312" w:eastAsia="仿宋_GB2312"/>
          <w:sz w:val="32"/>
          <w:szCs w:val="32"/>
        </w:rPr>
        <w:t>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textAlignment w:val="auto"/>
        <w:rPr>
          <w:rFonts w:hint="default" w:ascii="黑体" w:hAnsi="黑体" w:eastAsia="黑体" w:cs="黑体"/>
          <w:color w:val="121212"/>
          <w:kern w:val="2"/>
          <w:sz w:val="32"/>
          <w:szCs w:val="32"/>
          <w:lang w:eastAsia="zh-CN" w:bidi="ar-SA"/>
        </w:rPr>
      </w:pPr>
      <w:r>
        <w:rPr>
          <w:rFonts w:hint="default" w:ascii="黑体" w:hAnsi="黑体" w:eastAsia="黑体" w:cs="黑体"/>
          <w:color w:val="121212"/>
          <w:kern w:val="2"/>
          <w:sz w:val="32"/>
          <w:szCs w:val="32"/>
          <w:lang w:eastAsia="zh-CN" w:bidi="ar-SA"/>
        </w:rPr>
        <w:t>一、关于“</w:t>
      </w:r>
      <w:r>
        <w:rPr>
          <w:rFonts w:hint="default" w:ascii="黑体" w:hAnsi="黑体" w:eastAsia="黑体" w:cs="黑体"/>
          <w:color w:val="121212"/>
          <w:kern w:val="2"/>
          <w:sz w:val="32"/>
          <w:szCs w:val="32"/>
          <w:lang w:val="en-US" w:eastAsia="zh-CN" w:bidi="ar-SA"/>
        </w:rPr>
        <w:t>建立多元化的出海支持体系：政策支持、资金支持、信息服务平台建设等</w:t>
      </w:r>
      <w:r>
        <w:rPr>
          <w:rFonts w:hint="default" w:ascii="黑体" w:hAnsi="黑体" w:eastAsia="黑体" w:cs="黑体"/>
          <w:color w:val="121212"/>
          <w:kern w:val="2"/>
          <w:sz w:val="32"/>
          <w:szCs w:val="32"/>
          <w:lang w:eastAsia="zh-CN" w:bidi="ar-SA"/>
        </w:rPr>
        <w:t>”方面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2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一是制定专项扶持政策。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eastAsia="zh-CN"/>
        </w:rPr>
        <w:t>为进一步鼓励企业出海，推动更多深企走向国际市场，增加全球市场“含深度”，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市商务局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eastAsia="zh-CN"/>
        </w:rPr>
        <w:t>出台了一系列支持政策。对外投资方面，对企业在境外投资项目前期费用、贷款贴息、海外投资保险保费等给予50%资金补贴；</w:t>
      </w:r>
      <w:r>
        <w:rPr>
          <w:rFonts w:hint="default" w:ascii="仿宋_GB2312" w:hAnsi="仿宋_GB2312" w:eastAsia="仿宋_GB2312" w:cs="仿宋_GB2312"/>
          <w:color w:val="121212"/>
          <w:sz w:val="32"/>
          <w:szCs w:val="32"/>
          <w:lang w:eastAsia="zh-CN"/>
        </w:rPr>
        <w:t>对外承包工程方面，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对首次申请对外承包工程绩效增长的予以最高200万元人民币奖励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，同时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根据对外承包工程绩效同比上一年度增长的规模，分梯度给予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最高200万元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奖励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eastAsia="zh-CN"/>
        </w:rPr>
        <w:t>境外参展方面，对重点企业参加境外展览的给予展位费用50%资金补贴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2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二是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与金融机构合作推出针对性的贷款产品和信用担保服务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降低企业融资门槛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，在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eastAsia="zh-CN"/>
        </w:rPr>
        <w:t>出口信用保险方面，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目前已与中国进出口信用保险公司合作，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eastAsia="zh-CN"/>
        </w:rPr>
        <w:t>对企业投保出口信用保险的保费给于一定比例支持，同时为上一年出口额在800万美元以下的我市外贸中小微企业统一投保出口信用保险；海外仓建设方面，支持海外仓持续提升智能化、专业化、规模化水平，对企业获评省级公共海外仓的给予不超过200万元资金补贴。下一步，</w:t>
      </w:r>
      <w:r>
        <w:rPr>
          <w:rFonts w:hint="eastAsia" w:ascii="仿宋_GB2312" w:hAnsi="仿宋_GB2312" w:eastAsia="仿宋_GB2312" w:cs="仿宋_GB2312"/>
          <w:b w:val="0"/>
          <w:bCs w:val="0"/>
          <w:color w:val="121212"/>
          <w:kern w:val="2"/>
          <w:sz w:val="32"/>
          <w:szCs w:val="32"/>
          <w:lang w:val="en-US" w:eastAsia="zh-CN" w:bidi="ar-SA"/>
        </w:rPr>
        <w:t>市商务</w:t>
      </w:r>
      <w:r>
        <w:rPr>
          <w:rFonts w:hint="default" w:ascii="仿宋_GB2312" w:hAnsi="仿宋_GB2312" w:eastAsia="仿宋_GB2312" w:cs="仿宋_GB2312"/>
          <w:b w:val="0"/>
          <w:bCs w:val="0"/>
          <w:color w:val="121212"/>
          <w:kern w:val="2"/>
          <w:sz w:val="32"/>
          <w:szCs w:val="32"/>
          <w:lang w:val="en-US" w:eastAsia="zh-CN" w:bidi="ar-SA"/>
        </w:rPr>
        <w:t>局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eastAsia="zh-CN"/>
        </w:rPr>
        <w:t>将继续执行好相关政策，确保企业及时获得资金资助，降低企业出海成本。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2" w:firstLineChars="200"/>
        <w:textAlignment w:val="auto"/>
        <w:rPr>
          <w:rFonts w:hint="default" w:ascii="黑体" w:hAnsi="黑体" w:eastAsia="黑体" w:cs="黑体"/>
          <w:color w:val="121212"/>
          <w:kern w:val="2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  <w:t>三是持续完善海外综合服务体系。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推动构建“1+N+X”企业出海综合服务平台体系（1为“深圳·前海出海e站通”全市平台；N为各有关区企业海外综合服务分平台、各有关部门专区；X为相关社会机构市场化服务平台），整合海外综合服务平台，推出前海出海e站通的同时，引导全市各有关区建立区级平台中心，例如推动龙岗区成立龙岗区服务企业出海基地、龙华区成立产业出海联盟等。截至目前，e站通已集成70大类出海服务事项，引导180家专业服务机构入驻，发布企业出海需求事项700余项，举办各类出海活动120余场，推动境内法律、财税、知识产权专业服务机构等第三方服务机构开展国际化布局，为企业出海提供支持保障，出海服务更加完善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</w:pPr>
      <w:r>
        <w:rPr>
          <w:rFonts w:hint="default" w:ascii="黑体" w:hAnsi="黑体" w:eastAsia="黑体" w:cs="黑体"/>
          <w:color w:val="121212"/>
          <w:kern w:val="2"/>
          <w:sz w:val="32"/>
          <w:szCs w:val="32"/>
          <w:lang w:eastAsia="zh-CN" w:bidi="ar-SA"/>
        </w:rPr>
        <w:t>二、关于“</w:t>
      </w:r>
      <w:r>
        <w:rPr>
          <w:rFonts w:hint="default" w:ascii="黑体" w:hAnsi="黑体" w:eastAsia="黑体" w:cs="黑体"/>
          <w:color w:val="121212"/>
          <w:kern w:val="2"/>
          <w:sz w:val="32"/>
          <w:szCs w:val="32"/>
          <w:lang w:val="en-US" w:eastAsia="zh-CN" w:bidi="ar-SA"/>
        </w:rPr>
        <w:t>聚焦行业：民营企业聚焦高新技术产业，国有企业聚焦基础设施领域，及推动支柱产业向外发展</w:t>
      </w:r>
      <w:r>
        <w:rPr>
          <w:rFonts w:hint="default" w:ascii="黑体" w:hAnsi="黑体" w:eastAsia="黑体" w:cs="黑体"/>
          <w:color w:val="121212"/>
          <w:kern w:val="2"/>
          <w:sz w:val="32"/>
          <w:szCs w:val="32"/>
          <w:lang w:eastAsia="zh-CN" w:bidi="ar-SA"/>
        </w:rPr>
        <w:t>”方面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spacing w:beforeLines="0" w:afterLines="0" w:line="56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一是引导服务企业扩大优势产业出口。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  <w:t>精心选择重点国别和贸易方向做好海外布局，挑选我市新能源汽车等优势产业链，制定专项政策，以新能源整车企业对外投资带动汽车零配件贸易等出口。瞄准新能源汽车产业潜力较大的市场，推动龙头企业带动产业链上下游的充电桩、新能源汽车售后服务等企业抱团出海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spacing w:beforeLines="0" w:afterLines="0" w:line="560" w:lineRule="exact"/>
        <w:ind w:firstLine="642" w:firstLineChars="200"/>
        <w:textAlignment w:val="auto"/>
        <w:rPr>
          <w:rFonts w:hint="eastAsia" w:ascii="楷体-GB2312" w:hAnsi="楷体-GB2312" w:eastAsia="楷体-GB2312" w:cs="楷体-GB2312"/>
          <w:b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二是针对国有企业特点，聚焦基础设施领域。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目前，深圳市投资控股有限公司所属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深圳市深越联合投资有限公司已在越南投资建设中国·越南（深圳－海防）经济贸易合作区（简称深越合作区），已建成产业用房以及路桥管网、水电气等公共基础设施，入驻30余家中资企业，形成</w:t>
      </w:r>
      <w:r>
        <w:rPr>
          <w:rFonts w:hint="eastAsia" w:ascii="仿宋_GB2312" w:hAnsi="仿宋_GB2312" w:eastAsia="仿宋_GB2312" w:cs="仿宋_GB2312"/>
          <w:sz w:val="32"/>
        </w:rPr>
        <w:t>以电子机电为主导产业的科技工业园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，成为“一带一路”标杆项目。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今年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1-6月，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highlight w:val="none"/>
          <w:lang w:val="en-US" w:eastAsia="zh-CN"/>
        </w:rPr>
        <w:t>深越合作区总产值达12.8亿美元，同比增长30.2%；带动国内货物出口7.2亿美元，同比增长41.8%。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下一步，将持续建设并运营好深越合作区，探索以轻资产模式拓展东南亚地区的产业园区，积极为各类出海企业提供政策咨询、项目选址、项目代建、园区运营、商务会展等一站式服务，探索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打造中资企业拓展东南亚市场的出海平台。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2" w:firstLineChars="200"/>
        <w:textAlignment w:val="auto"/>
        <w:rPr>
          <w:rFonts w:hint="eastAsia" w:ascii="楷体-GB2312" w:hAnsi="楷体-GB2312" w:eastAsia="楷体-GB2312" w:cs="楷体-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三是推动市场多元化，降低对美国市场依赖度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面对关税冲击，引导企业有序开展对外投资（近期企业咨询赴东南亚、墨西哥、美国投资政策频率有所提高），巩固与东南亚国家传统经贸合作伙伴关系，深挖中东欧、中东、中亚、非洲、拉美国家产能合作潜力，开拓“一带一路”新兴市场，采取“新兴市场拓展+国内市场挖潜”的策略，形成全球化市场风险分散机制，推动我市优势产业在关税较低或不受关税影响的国家（地区）布局，采取市场多元化策略来实现对美出口替代，更好规避美国贸易壁垒，降低对美国市场的依赖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textAlignment w:val="auto"/>
        <w:rPr>
          <w:rFonts w:hint="default" w:ascii="黑体" w:hAnsi="黑体" w:eastAsia="黑体" w:cs="黑体"/>
          <w:color w:val="121212"/>
          <w:kern w:val="2"/>
          <w:sz w:val="32"/>
          <w:szCs w:val="32"/>
          <w:lang w:eastAsia="zh-CN" w:bidi="ar-SA"/>
        </w:rPr>
      </w:pPr>
      <w:r>
        <w:rPr>
          <w:rFonts w:hint="default" w:ascii="黑体" w:hAnsi="黑体" w:eastAsia="黑体" w:cs="黑体"/>
          <w:color w:val="121212"/>
          <w:kern w:val="2"/>
          <w:sz w:val="32"/>
          <w:szCs w:val="32"/>
          <w:lang w:eastAsia="zh-CN" w:bidi="ar-SA"/>
        </w:rPr>
        <w:t>三、关于“</w:t>
      </w:r>
      <w:r>
        <w:rPr>
          <w:rFonts w:hint="default" w:ascii="黑体" w:hAnsi="黑体" w:eastAsia="黑体" w:cs="黑体"/>
          <w:color w:val="121212"/>
          <w:kern w:val="2"/>
          <w:sz w:val="32"/>
          <w:szCs w:val="32"/>
          <w:lang w:val="en-US" w:eastAsia="zh-CN" w:bidi="ar-SA"/>
        </w:rPr>
        <w:t>加强国际化人才培养和引进</w:t>
      </w:r>
      <w:r>
        <w:rPr>
          <w:rFonts w:hint="default" w:ascii="黑体" w:hAnsi="黑体" w:eastAsia="黑体" w:cs="黑体"/>
          <w:color w:val="121212"/>
          <w:kern w:val="2"/>
          <w:sz w:val="32"/>
          <w:szCs w:val="32"/>
          <w:lang w:eastAsia="zh-CN" w:bidi="ar-SA"/>
        </w:rPr>
        <w:t>”方面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2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Style w:val="12"/>
          <w:rFonts w:hint="eastAsia" w:ascii="仿宋_GB2312" w:hAnsi="仿宋_GB2312" w:eastAsia="仿宋_GB2312" w:cs="仿宋_GB2312"/>
          <w:b/>
          <w:bCs/>
          <w:kern w:val="21"/>
          <w:sz w:val="32"/>
          <w:szCs w:val="32"/>
          <w:lang w:val="en-US" w:eastAsia="zh-CN"/>
        </w:rPr>
        <w:t>一是组建高水平合规专业队伍。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确定深圳国际仲裁院、前海法院、金城同达律师事务所等11家单位作为深圳市首批涉外法治人才实训中心。遴选出645名律师纳入深圳市涉外律师领军人才库和新锐人才库，不断充实企业涉外合规法律服务人才队伍。市司法局指导市企业合规协会发布《合格评定——企业合规师能力要求》团体标准，联合英国标准协会对标国际标准开展企业合规专业人才培养。率先探索合规储备人才联动培养模式。支持深圳大学招收四批次132名合规方向法律硕士研究生。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2" w:firstLineChars="200"/>
        <w:textAlignment w:val="auto"/>
        <w:rPr>
          <w:rFonts w:hint="default" w:ascii="黑体" w:hAnsi="黑体" w:eastAsia="黑体" w:cs="黑体"/>
          <w:color w:val="121212"/>
          <w:kern w:val="2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二是持续推进企业合规师专业人才培养。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深圳已形成“教育培养—人才引进—激励保障—生态赋能”的全链条人才发展模式，为企业国际化布局的高质量发展提供了坚实支撑。依托</w:t>
      </w:r>
      <w:r>
        <w:rPr>
          <w:rStyle w:val="12"/>
          <w:rFonts w:hint="eastAsia" w:ascii="仿宋_GB2312" w:hAnsi="仿宋_GB2312" w:eastAsia="仿宋_GB2312" w:cs="仿宋_GB2312"/>
          <w:b w:val="0"/>
          <w:bCs w:val="0"/>
          <w:kern w:val="21"/>
          <w:sz w:val="32"/>
          <w:szCs w:val="32"/>
          <w:lang w:val="en-US" w:eastAsia="zh-CN"/>
        </w:rPr>
        <w:t>北京大学国际法学院、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深圳大学法学院为涉外法治人才协同培养基地，与中国人民大学、武汉大学、西南政法大学、中山大学签署《合作共建备忘录》，加强涉外法治理论与实践研究、涉外法治专业等学科建设，推动产学研合作。目前，全市拥有2所中外合作办学高校和4所中外合作办学机构，在校大学生达到1.7万人，成为国际优质高等教育汇聚高地。实施《留学深圳五年行动计划（2024-2028年）》，全市高校留学生达到3888人，相比去年大幅增长66%。南科大入选中国政府奖学金高校，实现深圳市属高校“零”的突破。下一步将引导和支持高校进一步加强与国内外知名院校合作，积极推动与企业共建实习基地,培养具有国际视野的实践型国际人才，为我市全面深化支持深圳企业“走出去”战略提供有力支撑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textAlignment w:val="auto"/>
        <w:rPr>
          <w:rFonts w:hint="default" w:ascii="黑体" w:hAnsi="黑体" w:eastAsia="黑体" w:cs="黑体"/>
          <w:color w:val="121212"/>
          <w:kern w:val="2"/>
          <w:sz w:val="32"/>
          <w:szCs w:val="32"/>
          <w:lang w:eastAsia="zh-CN" w:bidi="ar-SA"/>
        </w:rPr>
      </w:pPr>
      <w:r>
        <w:rPr>
          <w:rFonts w:hint="default" w:ascii="黑体" w:hAnsi="黑体" w:eastAsia="黑体" w:cs="黑体"/>
          <w:color w:val="121212"/>
          <w:kern w:val="2"/>
          <w:sz w:val="32"/>
          <w:szCs w:val="32"/>
          <w:lang w:eastAsia="zh-CN" w:bidi="ar-SA"/>
        </w:rPr>
        <w:t>四、关于“</w:t>
      </w:r>
      <w:r>
        <w:rPr>
          <w:rFonts w:hint="default" w:ascii="黑体" w:hAnsi="黑体" w:eastAsia="黑体" w:cs="黑体"/>
          <w:color w:val="121212"/>
          <w:kern w:val="2"/>
          <w:sz w:val="32"/>
          <w:szCs w:val="32"/>
          <w:lang w:val="en-US" w:eastAsia="zh-CN" w:bidi="ar-SA"/>
        </w:rPr>
        <w:t>提供专业的法律、咨询和财税服务</w:t>
      </w:r>
      <w:r>
        <w:rPr>
          <w:rFonts w:hint="default" w:ascii="黑体" w:hAnsi="黑体" w:eastAsia="黑体" w:cs="黑体"/>
          <w:color w:val="121212"/>
          <w:kern w:val="2"/>
          <w:sz w:val="32"/>
          <w:szCs w:val="32"/>
          <w:lang w:eastAsia="zh-CN" w:bidi="ar-SA"/>
        </w:rPr>
        <w:t>”方面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21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21"/>
          <w:lang w:val="en-US" w:eastAsia="zh-CN" w:bidi="ar-SA"/>
        </w:rPr>
        <w:t>一是成立专门的法律服务中心，为企业提供跨国法律咨询和诉讼服务。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21"/>
          <w:lang w:val="en-US" w:eastAsia="zh-CN" w:bidi="ar-SA"/>
        </w:rPr>
        <w:t>市司法局指导市律协成立涉外法律服务中心，并组织涉外法律服务中心向社会开展涉外法律咨询服务，为企业和个人“走出去”“引进来”保驾护航；发布《深圳市涉外法律服务指引（2025）》（以下简称《指引》），为企业“走出去”提供有信息、有引导、有支撑的高水平涉外法律服务；建立企业合规地方标准管理体系指引，结合深圳企业目前合规管理的现状、难点和需求，出台全国首部企业合规建设地方标准——《企业合规管理体系》（DB4403/T 350—2023），将知识产权作为企业合规管理的重点领域，引导企业建立与“走出去”相适应的合规管理体系，为各类企业建立合规管理体系提供了全面系统的指引。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21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21"/>
          <w:lang w:val="en-US" w:eastAsia="zh-CN" w:bidi="ar-SA"/>
        </w:rPr>
        <w:t>二是加强对企业海外经营合规指导和预警。</w:t>
      </w:r>
      <w:r>
        <w:rPr>
          <w:rFonts w:hint="eastAsia" w:ascii="仿宋_GB2312" w:hAnsi="仿宋_GB2312" w:eastAsia="仿宋_GB2312" w:cs="仿宋_GB2312"/>
          <w:kern w:val="2"/>
          <w:sz w:val="32"/>
          <w:szCs w:val="21"/>
          <w:lang w:val="en-US" w:eastAsia="zh-CN" w:bidi="ar-SA"/>
        </w:rPr>
        <w:t>深化与前海e站通等平台协同工作机制，鼓励专业服务机构、行业协会等利用线下培训、视频授课、主题沙龙、信息推送等方式，提升企业海外经营合规意识出海平台成立以来，集成了发展改革、可提供超过60类项政府服务和出海业务咨询及受理，吸引金融、法律、人力资源、财会、园区选址等180家专业服务机构入驻，可为深圳企业出海提供“走出去”保姆式服务；同时，前海联动港澳打造优质高效的现代服务业新体系，深化金融业开放创新，提高专业服务业国际化水平，持续吸引高端要素、完善服务生态、夯实市场化服务供给，提升市场主体跨国经营能力；在风险预警方面，平台通过网站，定期发布企业合规风险预警、安全风险预警、市场风险预警等风险防范提示。聚焦投资准入、贸易摩擦、合规运营等环节，通过组建服务专班、提供培训等方式，强化贸易救济服务能力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2" w:firstLineChars="200"/>
        <w:textAlignment w:val="auto"/>
        <w:rPr>
          <w:rFonts w:hint="eastAsia" w:ascii="黑体" w:hAnsi="黑体" w:eastAsia="黑体" w:cs="黑体"/>
          <w:color w:val="121212"/>
          <w:kern w:val="2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21"/>
          <w:lang w:val="en-US" w:eastAsia="zh-CN" w:bidi="ar-SA"/>
        </w:rPr>
        <w:t>三是加快投资东道国基础信息的整理汇编。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21"/>
          <w:lang w:val="en-US" w:eastAsia="zh-CN" w:bidi="ar-SA"/>
        </w:rPr>
        <w:t>今年以来，联动中国贸促会商事法律服务中心经贸摩擦应对处专家资源，对包括材料、新能源、电子制造等行业在内的多家深圳企业，涉及实体清单、SDN 清单、反倾销反补贴、出口管制等内容提供指导和帮助。</w:t>
      </w:r>
      <w:r>
        <w:rPr>
          <w:rFonts w:hint="eastAsia" w:ascii="仿宋_GB2312" w:hAnsi="仿宋_GB2312" w:eastAsia="仿宋_GB2312" w:cs="仿宋_GB2312"/>
          <w:kern w:val="2"/>
          <w:sz w:val="32"/>
          <w:szCs w:val="21"/>
          <w:lang w:val="en-US" w:eastAsia="zh-CN" w:bidi="ar-SA"/>
        </w:rPr>
        <w:t>目前已制定《深圳市关于面向重点区域国家的经贸合作指引（第一批）》，对接招商银行和汇丰等金融机构，获取国别金融风险研究报告，完善企业走出去服务中心国别服务，同时完善上述合作指引，涵盖投资东道国国情、产业发展、税收财务、劳资关系等基础信息的整理汇编，下一步计划近期印发。为我市外向型企业提供涉外商事调解服务，2025年1-3月，调解中心共接案件828宗，同比2024年增长66%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textAlignment w:val="auto"/>
        <w:rPr>
          <w:rFonts w:hint="default" w:ascii="黑体" w:hAnsi="黑体" w:eastAsia="黑体" w:cs="黑体"/>
          <w:color w:val="121212"/>
          <w:kern w:val="2"/>
          <w:sz w:val="32"/>
          <w:szCs w:val="32"/>
          <w:lang w:eastAsia="zh-CN" w:bidi="ar-SA"/>
        </w:rPr>
      </w:pPr>
      <w:r>
        <w:rPr>
          <w:rFonts w:hint="eastAsia" w:ascii="黑体" w:hAnsi="黑体" w:eastAsia="黑体" w:cs="黑体"/>
          <w:color w:val="121212"/>
          <w:kern w:val="2"/>
          <w:sz w:val="32"/>
          <w:szCs w:val="32"/>
          <w:lang w:eastAsia="zh-CN" w:bidi="ar-SA"/>
        </w:rPr>
        <w:t>五</w:t>
      </w:r>
      <w:r>
        <w:rPr>
          <w:rFonts w:hint="default" w:ascii="黑体" w:hAnsi="黑体" w:eastAsia="黑体" w:cs="黑体"/>
          <w:color w:val="121212"/>
          <w:kern w:val="2"/>
          <w:sz w:val="32"/>
          <w:szCs w:val="32"/>
          <w:lang w:eastAsia="zh-CN" w:bidi="ar-SA"/>
        </w:rPr>
        <w:t>、关于“</w:t>
      </w:r>
      <w:r>
        <w:rPr>
          <w:rFonts w:hint="default" w:ascii="黑体" w:hAnsi="黑体" w:eastAsia="黑体" w:cs="黑体"/>
          <w:color w:val="121212"/>
          <w:kern w:val="2"/>
          <w:sz w:val="32"/>
          <w:szCs w:val="32"/>
          <w:lang w:val="en-US" w:eastAsia="zh-CN" w:bidi="ar-SA"/>
        </w:rPr>
        <w:t>全面提升深企出海</w:t>
      </w:r>
      <w:r>
        <w:rPr>
          <w:rFonts w:hint="eastAsia" w:ascii="黑体" w:hAnsi="黑体" w:eastAsia="黑体" w:cs="黑体"/>
          <w:color w:val="121212"/>
          <w:kern w:val="2"/>
          <w:sz w:val="32"/>
          <w:szCs w:val="32"/>
          <w:lang w:val="en-US" w:eastAsia="zh-CN" w:bidi="ar-SA"/>
        </w:rPr>
        <w:t>‘</w:t>
      </w:r>
      <w:r>
        <w:rPr>
          <w:rFonts w:hint="default" w:ascii="黑体" w:hAnsi="黑体" w:eastAsia="黑体" w:cs="黑体"/>
          <w:color w:val="121212"/>
          <w:kern w:val="2"/>
          <w:sz w:val="32"/>
          <w:szCs w:val="32"/>
          <w:lang w:val="en-US" w:eastAsia="zh-CN" w:bidi="ar-SA"/>
        </w:rPr>
        <w:t>软实力</w:t>
      </w:r>
      <w:r>
        <w:rPr>
          <w:rFonts w:hint="eastAsia" w:ascii="黑体" w:hAnsi="黑体" w:eastAsia="黑体" w:cs="黑体"/>
          <w:color w:val="121212"/>
          <w:kern w:val="2"/>
          <w:sz w:val="32"/>
          <w:szCs w:val="32"/>
          <w:lang w:val="en-US" w:eastAsia="zh-CN" w:bidi="ar-SA"/>
        </w:rPr>
        <w:t>’</w:t>
      </w:r>
      <w:r>
        <w:rPr>
          <w:rFonts w:hint="default" w:ascii="黑体" w:hAnsi="黑体" w:eastAsia="黑体" w:cs="黑体"/>
          <w:color w:val="121212"/>
          <w:kern w:val="2"/>
          <w:sz w:val="32"/>
          <w:szCs w:val="32"/>
          <w:lang w:val="en-US" w:eastAsia="zh-CN" w:bidi="ar-SA"/>
        </w:rPr>
        <w:t>，倍增</w:t>
      </w:r>
      <w:r>
        <w:rPr>
          <w:rFonts w:hint="eastAsia" w:ascii="黑体" w:hAnsi="黑体" w:eastAsia="黑体" w:cs="黑体"/>
          <w:color w:val="121212"/>
          <w:kern w:val="2"/>
          <w:sz w:val="32"/>
          <w:szCs w:val="32"/>
          <w:lang w:val="en-US" w:eastAsia="zh-CN" w:bidi="ar-SA"/>
        </w:rPr>
        <w:t>‘</w:t>
      </w:r>
      <w:r>
        <w:rPr>
          <w:rFonts w:hint="default" w:ascii="黑体" w:hAnsi="黑体" w:eastAsia="黑体" w:cs="黑体"/>
          <w:color w:val="121212"/>
          <w:kern w:val="2"/>
          <w:sz w:val="32"/>
          <w:szCs w:val="32"/>
          <w:lang w:val="en-US" w:eastAsia="zh-CN" w:bidi="ar-SA"/>
        </w:rPr>
        <w:t>深圳制造</w:t>
      </w:r>
      <w:r>
        <w:rPr>
          <w:rFonts w:hint="eastAsia" w:ascii="黑体" w:hAnsi="黑体" w:eastAsia="黑体" w:cs="黑体"/>
          <w:color w:val="121212"/>
          <w:kern w:val="2"/>
          <w:sz w:val="32"/>
          <w:szCs w:val="32"/>
          <w:lang w:val="en-US" w:eastAsia="zh-CN" w:bidi="ar-SA"/>
        </w:rPr>
        <w:t>’</w:t>
      </w:r>
      <w:r>
        <w:rPr>
          <w:rFonts w:hint="default" w:ascii="黑体" w:hAnsi="黑体" w:eastAsia="黑体" w:cs="黑体"/>
          <w:color w:val="121212"/>
          <w:kern w:val="2"/>
          <w:sz w:val="32"/>
          <w:szCs w:val="32"/>
          <w:lang w:val="en-US" w:eastAsia="zh-CN" w:bidi="ar-SA"/>
        </w:rPr>
        <w:t>品牌效应搭建国际合作平台，支持企业进行品牌国际化，提升国际市场竞争力</w:t>
      </w:r>
      <w:r>
        <w:rPr>
          <w:rFonts w:hint="default" w:ascii="黑体" w:hAnsi="黑体" w:eastAsia="黑体" w:cs="黑体"/>
          <w:color w:val="121212"/>
          <w:kern w:val="2"/>
          <w:sz w:val="32"/>
          <w:szCs w:val="32"/>
          <w:lang w:eastAsia="zh-CN" w:bidi="ar-SA"/>
        </w:rPr>
        <w:t>”方面</w:t>
      </w:r>
    </w:p>
    <w:p>
      <w:pPr>
        <w:pStyle w:val="18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napToGrid w:val="0"/>
        <w:spacing w:beforeLines="0" w:afterLines="0" w:line="560" w:lineRule="exact"/>
        <w:ind w:firstLine="640"/>
        <w:rPr>
          <w:rFonts w:hint="eastAsia"/>
          <w:b/>
          <w:bCs/>
        </w:rPr>
      </w:pPr>
      <w:r>
        <w:rPr>
          <w:rFonts w:hint="eastAsia"/>
          <w:b/>
          <w:bCs/>
        </w:rPr>
        <w:t>一是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利用国际展会、广告投放等多种渠道，帮助企业宣传品牌。积极对接国际展会资源</w:t>
      </w:r>
      <w:r>
        <w:rPr>
          <w:rFonts w:hint="eastAsia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以境外展为抓手</w:t>
      </w:r>
      <w:r>
        <w:rPr>
          <w:rFonts w:hint="eastAsia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</w:rPr>
        <w:t>持续助力企业拓展海内外市场。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优选境外知名展会组织深圳展团“抱团“亮相</w:t>
      </w:r>
      <w:r>
        <w:rPr>
          <w:rFonts w:hint="eastAsia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帮助企业拓市场、稳订单。2025年以来</w:t>
      </w:r>
      <w:r>
        <w:rPr>
          <w:rFonts w:hint="eastAsia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组织100余家企业参加香港国际创科展、日本东京人工智能展2场境外专业展会</w:t>
      </w:r>
      <w:r>
        <w:rPr>
          <w:rFonts w:hint="eastAsia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同步举办对接洽谈和营销推广活动</w:t>
      </w:r>
      <w:r>
        <w:rPr>
          <w:rFonts w:hint="eastAsia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促成各类意向成交金额超</w:t>
      </w:r>
      <w:r>
        <w:rPr>
          <w:rFonts w:hint="eastAsia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亿元人民币。</w:t>
      </w:r>
    </w:p>
    <w:p>
      <w:pPr>
        <w:pStyle w:val="18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napToGrid w:val="0"/>
        <w:spacing w:beforeLines="0" w:afterLines="0" w:line="560" w:lineRule="exact"/>
        <w:ind w:firstLine="640"/>
        <w:rPr>
          <w:rFonts w:hint="eastAsia"/>
        </w:rPr>
      </w:pPr>
      <w:r>
        <w:rPr>
          <w:rFonts w:hint="eastAsia"/>
          <w:b/>
          <w:bCs/>
        </w:rPr>
        <w:t>二是</w:t>
      </w:r>
      <w:r>
        <w:rPr>
          <w:rFonts w:hint="eastAsia"/>
        </w:rPr>
        <w:t>深耕产业会客厅，打造宣传全矩阵，开展产业链补链、市场渠道挖掘、市场拓展等线下对接活动，以及高端对话访谈、处长讲政策、工信大咖谈等节目。截至目前，《产业会客厅》已策划组织、制作完成了37期节目，重点对接了超过2000家企业，直接间接帮助企业促成了总计超过6.2亿的市场订单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2" w:firstLineChars="200"/>
        <w:textAlignment w:val="auto"/>
        <w:rPr>
          <w:rFonts w:hint="eastAsia" w:ascii="黑体" w:hAnsi="黑体" w:eastAsia="黑体" w:cs="黑体"/>
          <w:color w:val="121212"/>
          <w:kern w:val="2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三是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加强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国际经贸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规则衔接和机制对接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，推广、采用国际标准和国外先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bidi="ar"/>
        </w:rPr>
        <w:t>进标准，加强与海外标准化组织交流合作，鼓励企业获取国际质量管理体系认证，提高产品质量信任度。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 w:bidi="ar"/>
        </w:rPr>
        <w:t>联合前海举办美国FDA质量管理体系法规详解及应审经验分享等涉外法律培训活动，邀请专家学者、专业服务机构等就</w:t>
      </w:r>
      <w:r>
        <w:rPr>
          <w:rFonts w:hint="default" w:ascii="仿宋_GB2312" w:eastAsia="仿宋_GB2312" w:cs="仿宋_GB2312"/>
          <w:sz w:val="32"/>
          <w:szCs w:val="32"/>
          <w:highlight w:val="none"/>
          <w:lang w:val="en-US" w:eastAsia="zh-CN" w:bidi="ar"/>
        </w:rPr>
        <w:t>产品、技术、品牌、服务、标准协同出海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 w:bidi="ar"/>
        </w:rPr>
        <w:t>等主题对企业进行培训，帮助企业进一步提升国际化运营的能力，更好地应对贸易摩擦。加强“一带一路”共建国家市场准入认证、标准技术、产品检测等领域服务，支持深圳电子电气、新一代信息技术、智能装备、医疗器械等优势产品开拓市场。发起成立“一带一路”生命科技促进联盟，2024年1月，推动联盟正式加入国际标准化组织（ISO）技术委员会ISO/TC276，发布8项生物技术领域“一带一路”区域标准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textAlignment w:val="auto"/>
        <w:rPr>
          <w:rFonts w:hint="default" w:ascii="黑体" w:hAnsi="黑体" w:eastAsia="黑体" w:cs="黑体"/>
          <w:color w:val="121212"/>
          <w:kern w:val="2"/>
          <w:sz w:val="32"/>
          <w:szCs w:val="32"/>
          <w:lang w:eastAsia="zh-CN" w:bidi="ar-SA"/>
        </w:rPr>
      </w:pPr>
      <w:r>
        <w:rPr>
          <w:rFonts w:hint="eastAsia" w:ascii="黑体" w:hAnsi="黑体" w:eastAsia="黑体" w:cs="黑体"/>
          <w:color w:val="121212"/>
          <w:kern w:val="2"/>
          <w:sz w:val="32"/>
          <w:szCs w:val="32"/>
          <w:lang w:eastAsia="zh-CN" w:bidi="ar-SA"/>
        </w:rPr>
        <w:t>六</w:t>
      </w:r>
      <w:r>
        <w:rPr>
          <w:rFonts w:hint="default" w:ascii="黑体" w:hAnsi="黑体" w:eastAsia="黑体" w:cs="黑体"/>
          <w:color w:val="121212"/>
          <w:kern w:val="2"/>
          <w:sz w:val="32"/>
          <w:szCs w:val="32"/>
          <w:lang w:eastAsia="zh-CN" w:bidi="ar-SA"/>
        </w:rPr>
        <w:t>、关于“</w:t>
      </w:r>
      <w:r>
        <w:rPr>
          <w:rFonts w:hint="default" w:ascii="黑体" w:hAnsi="黑体" w:eastAsia="黑体" w:cs="黑体"/>
          <w:color w:val="121212"/>
          <w:kern w:val="2"/>
          <w:sz w:val="32"/>
          <w:szCs w:val="32"/>
          <w:lang w:val="en-US" w:eastAsia="zh-CN" w:bidi="ar-SA"/>
        </w:rPr>
        <w:t>强化企业间的协同合作</w:t>
      </w:r>
      <w:r>
        <w:rPr>
          <w:rFonts w:hint="default" w:ascii="黑体" w:hAnsi="黑体" w:eastAsia="黑体" w:cs="黑体"/>
          <w:color w:val="121212"/>
          <w:kern w:val="2"/>
          <w:sz w:val="32"/>
          <w:szCs w:val="32"/>
          <w:lang w:eastAsia="zh-CN" w:bidi="ar-SA"/>
        </w:rPr>
        <w:t>”方面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5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一是</w:t>
      </w:r>
      <w:r>
        <w:rPr>
          <w:rFonts w:hint="eastAsia" w:ascii="仿宋_GB2312" w:eastAsia="仿宋_GB2312"/>
          <w:sz w:val="32"/>
          <w:szCs w:val="32"/>
        </w:rPr>
        <w:t>积极组织企业参加香港创科展、春季电子展和澳门BEYOND展、德国汉诺威工业展、第二十九届澳门国际贸易投资展览会等展会，持续助力企业拓展海内外市场。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5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二是</w:t>
      </w:r>
      <w:r>
        <w:rPr>
          <w:rFonts w:hint="eastAsia" w:ascii="仿宋_GB2312" w:eastAsia="仿宋_GB2312"/>
          <w:sz w:val="32"/>
          <w:szCs w:val="32"/>
        </w:rPr>
        <w:t>积极支持举办粤港澳大湾区车展、深圳国际消费电子博览会、深圳国际智能家居大会、深圳国际工业设计大展等各类国际性交流活动及展会，推动国际产业间交流合作。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5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三是</w:t>
      </w:r>
      <w:r>
        <w:rPr>
          <w:rFonts w:hint="eastAsia" w:ascii="仿宋_GB2312" w:eastAsia="仿宋_GB2312"/>
          <w:sz w:val="32"/>
          <w:szCs w:val="32"/>
        </w:rPr>
        <w:t>深耕产业会客厅，打造宣传全矩阵，开展产业链补链、市场渠道挖掘、市场拓展等线下对接活动，以及高端对话访谈、处长讲政策、工信大咖谈等节目。截至目前，《产业会客厅》已策划组织、制作完成了37期节目/活动，重点对接了超过2000家企业，直接间接帮助企业促成了总计超过6.2亿的市场订单。</w:t>
      </w:r>
    </w:p>
    <w:p>
      <w:pPr>
        <w:pStyle w:val="18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napToGrid w:val="0"/>
        <w:spacing w:beforeLines="0" w:afterLines="0" w:line="560" w:lineRule="exact"/>
        <w:ind w:firstLine="64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下一步，我们将</w:t>
      </w:r>
      <w:r>
        <w:rPr>
          <w:rFonts w:hint="eastAsia"/>
          <w:sz w:val="32"/>
          <w:szCs w:val="32"/>
          <w:lang w:eastAsia="zh-CN"/>
        </w:rPr>
        <w:t>根据您的建议，持续聚焦</w:t>
      </w:r>
      <w:r>
        <w:rPr>
          <w:rFonts w:hint="eastAsia"/>
          <w:sz w:val="32"/>
          <w:szCs w:val="32"/>
          <w:lang w:val="en-US" w:eastAsia="zh-CN"/>
        </w:rPr>
        <w:t>深企向海发展</w:t>
      </w:r>
      <w:r>
        <w:rPr>
          <w:rFonts w:hint="eastAsia"/>
          <w:sz w:val="32"/>
          <w:szCs w:val="32"/>
          <w:lang w:eastAsia="zh-CN"/>
        </w:rPr>
        <w:t>需求，全面深化支持深圳企业“走出去”战略，进一步加大政策支持力度，从多维度为深企“走出去”保驾护航，降低企业出海成本，全力推动更多</w:t>
      </w:r>
      <w:r>
        <w:rPr>
          <w:rFonts w:hint="eastAsia"/>
          <w:sz w:val="32"/>
          <w:szCs w:val="32"/>
          <w:lang w:val="en-US" w:eastAsia="zh-CN"/>
        </w:rPr>
        <w:t>深企</w:t>
      </w:r>
      <w:r>
        <w:rPr>
          <w:rFonts w:hint="eastAsia"/>
          <w:sz w:val="32"/>
          <w:szCs w:val="32"/>
          <w:lang w:eastAsia="zh-CN"/>
        </w:rPr>
        <w:t>在国际市场上提升影响力、扩大份额，实现高质量出海。</w:t>
      </w:r>
    </w:p>
    <w:p>
      <w:pPr>
        <w:pStyle w:val="18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napToGrid w:val="0"/>
        <w:spacing w:beforeLines="0" w:afterLines="0" w:line="560" w:lineRule="exact"/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default"/>
          <w:sz w:val="32"/>
          <w:szCs w:val="32"/>
        </w:rPr>
        <w:t>专此答复，</w:t>
      </w:r>
      <w:r>
        <w:rPr>
          <w:rFonts w:hint="eastAsia" w:ascii="仿宋_GB2312" w:eastAsia="仿宋_GB2312"/>
          <w:sz w:val="32"/>
          <w:szCs w:val="32"/>
        </w:rPr>
        <w:t>感谢您对深圳企业出海工作的关注与支持！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textAlignment w:val="auto"/>
      </w:pPr>
    </w:p>
    <w:p>
      <w:pPr>
        <w:pStyle w:val="4"/>
        <w:spacing w:beforeLines="0" w:afterLines="0" w:line="560" w:lineRule="exact"/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5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</w:t>
      </w:r>
      <w:r>
        <w:rPr>
          <w:rFonts w:hint="default" w:ascii="仿宋_GB2312" w:eastAsia="仿宋_GB2312"/>
          <w:sz w:val="32"/>
          <w:szCs w:val="32"/>
        </w:rPr>
        <w:t xml:space="preserve">        </w:t>
      </w:r>
      <w:r>
        <w:rPr>
          <w:rFonts w:hint="eastAsia" w:ascii="仿宋_GB2312" w:eastAsia="仿宋_GB2312"/>
          <w:sz w:val="32"/>
          <w:szCs w:val="32"/>
        </w:rPr>
        <w:t xml:space="preserve">深圳市商务局  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right="840" w:rightChars="400" w:firstLine="646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right="640"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sectPr>
      <w:headerReference r:id="rId4" w:type="first"/>
      <w:headerReference r:id="rId3" w:type="default"/>
      <w:footerReference r:id="rId5" w:type="default"/>
      <w:footerReference r:id="rId6" w:type="even"/>
      <w:pgSz w:w="11906" w:h="16838"/>
      <w:pgMar w:top="1814" w:right="1474" w:bottom="1814" w:left="1474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-GB2312">
    <w:altName w:val="方正楷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wordWrap w:val="0"/>
      <w:jc w:val="right"/>
      <w:rPr>
        <w:rFonts w:ascii="仿宋_GB2312" w:eastAsia="仿宋_GB2312"/>
        <w:sz w:val="32"/>
        <w:szCs w:val="32"/>
      </w:rPr>
    </w:pPr>
    <w:r>
      <w:rPr>
        <w:sz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 w:val="0"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ind w:left="210" w:leftChars="100" w:right="210" w:rightChars="100"/>
                            <w:jc w:val="right"/>
                            <w:textAlignment w:val="auto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val="zh-CN"/>
                            </w:rPr>
                            <w:t>8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keepNext w:val="0"/>
                      <w:keepLines w:val="0"/>
                      <w:pageBreakBefore w:val="0"/>
                      <w:widowControl w:val="0"/>
                      <w:kinsoku/>
                      <w:wordWrap w:val="0"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ind w:left="210" w:leftChars="100" w:right="210" w:rightChars="100"/>
                      <w:jc w:val="right"/>
                      <w:textAlignment w:val="auto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val="zh-CN"/>
                      </w:rPr>
                      <w:t>8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ascii="仿宋_GB2312" w:eastAsia="仿宋_GB2312"/>
        <w:sz w:val="32"/>
        <w:szCs w:val="32"/>
      </w:rPr>
    </w:pPr>
    <w:r>
      <w:rPr>
        <w:rFonts w:hint="eastAsia" w:ascii="仿宋_GB2312" w:eastAsia="仿宋_GB2312"/>
        <w:sz w:val="32"/>
        <w:szCs w:val="32"/>
      </w:rPr>
      <w:t xml:space="preserve">— </w:t>
    </w:r>
    <w:r>
      <w:rPr>
        <w:rFonts w:hint="eastAsia" w:ascii="仿宋_GB2312" w:eastAsia="仿宋_GB2312"/>
        <w:sz w:val="32"/>
        <w:szCs w:val="32"/>
      </w:rPr>
      <w:fldChar w:fldCharType="begin"/>
    </w:r>
    <w:r>
      <w:rPr>
        <w:rFonts w:hint="eastAsia" w:ascii="仿宋_GB2312" w:eastAsia="仿宋_GB2312"/>
        <w:sz w:val="32"/>
        <w:szCs w:val="32"/>
      </w:rPr>
      <w:instrText xml:space="preserve"> PAGE   \* MERGEFORMAT </w:instrText>
    </w:r>
    <w:r>
      <w:rPr>
        <w:rFonts w:hint="eastAsia" w:ascii="仿宋_GB2312" w:eastAsia="仿宋_GB2312"/>
        <w:sz w:val="32"/>
        <w:szCs w:val="32"/>
      </w:rPr>
      <w:fldChar w:fldCharType="separate"/>
    </w:r>
    <w:r>
      <w:rPr>
        <w:rFonts w:ascii="仿宋_GB2312" w:eastAsia="仿宋_GB2312"/>
        <w:sz w:val="32"/>
        <w:szCs w:val="32"/>
        <w:lang w:val="zh-CN"/>
      </w:rPr>
      <w:t>12</w:t>
    </w:r>
    <w:r>
      <w:rPr>
        <w:rFonts w:hint="eastAsia" w:ascii="仿宋_GB2312" w:eastAsia="仿宋_GB2312"/>
        <w:sz w:val="32"/>
        <w:szCs w:val="32"/>
      </w:rPr>
      <w:fldChar w:fldCharType="end"/>
    </w:r>
    <w:r>
      <w:rPr>
        <w:rFonts w:hint="eastAsia" w:ascii="仿宋_GB2312" w:eastAsia="仿宋_GB2312"/>
        <w:sz w:val="32"/>
        <w:szCs w:val="32"/>
      </w:rPr>
      <w:t xml:space="preserve"> 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0"/>
  <w:bordersDoNotSurroundFooter w:val="0"/>
  <w:documentProtection w:edit="trackedChanges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947CF"/>
    <w:rsid w:val="373EF876"/>
    <w:rsid w:val="37FBF762"/>
    <w:rsid w:val="3B8F8B07"/>
    <w:rsid w:val="3EFC06C3"/>
    <w:rsid w:val="3FECB73E"/>
    <w:rsid w:val="4A1947CF"/>
    <w:rsid w:val="55F2E728"/>
    <w:rsid w:val="57DF10AD"/>
    <w:rsid w:val="57FD792D"/>
    <w:rsid w:val="5F5FE03B"/>
    <w:rsid w:val="6EB703D3"/>
    <w:rsid w:val="6F675DB1"/>
    <w:rsid w:val="6FECC6B3"/>
    <w:rsid w:val="77F633DB"/>
    <w:rsid w:val="77FD3BAC"/>
    <w:rsid w:val="795F4065"/>
    <w:rsid w:val="7BAC145A"/>
    <w:rsid w:val="7BBF8620"/>
    <w:rsid w:val="7DC9BDBF"/>
    <w:rsid w:val="7FDFA2BC"/>
    <w:rsid w:val="7FF78ADF"/>
    <w:rsid w:val="7FFF48E0"/>
    <w:rsid w:val="8E5D1F20"/>
    <w:rsid w:val="97BF3C68"/>
    <w:rsid w:val="9FFF6879"/>
    <w:rsid w:val="9FFF6D25"/>
    <w:rsid w:val="A7853035"/>
    <w:rsid w:val="BD3BBA62"/>
    <w:rsid w:val="BDED7719"/>
    <w:rsid w:val="BFDEB3FA"/>
    <w:rsid w:val="D3BF5326"/>
    <w:rsid w:val="D6659F34"/>
    <w:rsid w:val="DB7E6A59"/>
    <w:rsid w:val="E3FF9A13"/>
    <w:rsid w:val="F17FD4F8"/>
    <w:rsid w:val="FBEF8C83"/>
    <w:rsid w:val="FBF2B9AA"/>
    <w:rsid w:val="FDCEEBA1"/>
    <w:rsid w:val="FEFB959B"/>
    <w:rsid w:val="FFFF2D99"/>
    <w:rsid w:val="FFFFB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Body Text"/>
    <w:basedOn w:val="4"/>
    <w:next w:val="4"/>
    <w:uiPriority w:val="0"/>
    <w:pPr>
      <w:widowControl w:val="0"/>
      <w:spacing w:line="540" w:lineRule="exact"/>
    </w:pPr>
    <w:rPr>
      <w:rFonts w:ascii="楷体_GB2312" w:hAnsi="Calibri" w:eastAsia="楷体_GB2312" w:cs="Times New Roman"/>
      <w:kern w:val="2"/>
      <w:sz w:val="32"/>
      <w:szCs w:val="20"/>
    </w:rPr>
  </w:style>
  <w:style w:type="paragraph" w:customStyle="1" w:styleId="4">
    <w:name w:val="正文_0_0"/>
    <w:next w:val="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5">
    <w:name w:val="Plain Text"/>
    <w:basedOn w:val="1"/>
    <w:uiPriority w:val="0"/>
    <w:rPr>
      <w:rFonts w:ascii="宋体" w:hAnsi="Courier New" w:cs="Courier New"/>
      <w:szCs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8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eastAsia="宋体" w:cs="Times New Roman"/>
      <w:b/>
      <w:bCs/>
      <w:kern w:val="28"/>
      <w:sz w:val="32"/>
      <w:szCs w:val="32"/>
    </w:rPr>
  </w:style>
  <w:style w:type="paragraph" w:styleId="9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Emphasis"/>
    <w:basedOn w:val="12"/>
    <w:qFormat/>
    <w:uiPriority w:val="0"/>
    <w:rPr>
      <w:i/>
    </w:rPr>
  </w:style>
  <w:style w:type="paragraph" w:customStyle="1" w:styleId="15">
    <w:name w:val="_Style 1"/>
    <w:basedOn w:val="1"/>
    <w:qFormat/>
    <w:uiPriority w:val="99"/>
    <w:pPr>
      <w:ind w:firstLine="420" w:firstLineChars="200"/>
    </w:pPr>
  </w:style>
  <w:style w:type="paragraph" w:customStyle="1" w:styleId="16">
    <w:name w:val="正文 New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customStyle="1" w:styleId="17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  <w:style w:type="paragraph" w:customStyle="1" w:styleId="18">
    <w:name w:val="文件正文"/>
    <w:basedOn w:val="8"/>
    <w:qFormat/>
    <w:uiPriority w:val="2"/>
    <w:pPr>
      <w:spacing w:before="0" w:after="0" w:line="560" w:lineRule="exact"/>
      <w:ind w:firstLine="622" w:firstLineChars="200"/>
      <w:jc w:val="both"/>
      <w:outlineLvl w:val="9"/>
    </w:pPr>
    <w:rPr>
      <w:rFonts w:ascii="仿宋_GB2312" w:hAnsi="仿宋_GB2312" w:eastAsia="仿宋_GB2312" w:cs="仿宋_GB2312"/>
      <w:b w:val="0"/>
      <w:bCs w:val="0"/>
      <w:kern w:val="2"/>
    </w:rPr>
  </w:style>
  <w:style w:type="paragraph" w:customStyle="1" w:styleId="19">
    <w:name w:val="正文_0"/>
    <w:next w:val="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Office_11.8.2.11958_F1E327BC-269C-435d-A152-05C5408002CA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2022-08-09T01:03:00Z</dcterms:created>
  <dc:creator>禾禾</dc:creator>
  <cp:lastModifiedBy>文件收发（黄俊源）</cp:lastModifiedBy>
  <cp:lastPrinted>2022-08-11T19:42:00Z</cp:lastPrinted>
  <dcterms:modified xsi:type="dcterms:W3CDTF">2025-11-04T16:04:58Z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2052-11.8.2.11958</vt:lpwstr>
  </property>
  <property fmtid="{D5CDD505-2E9C-101B-9397-08002B2CF9AE}" pid="3" name="ICV">
    <vt:lpwstr>C7FC942804DD075110069B6845DE3B5C</vt:lpwstr>
  </property>
</Properties>
</file>