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bookmarkStart w:id="0" w:name="zhengwen"/>
      <w:bookmarkEnd w:id="0"/>
      <w:r>
        <w:rPr>
          <w:rFonts w:hint="eastAsia" w:ascii="方正小标宋简体" w:hAnsi="方正小标宋简体" w:eastAsia="方正小标宋简体" w:cs="方正小标宋简体"/>
          <w:sz w:val="44"/>
          <w:szCs w:val="44"/>
          <w:lang w:eastAsia="zh-CN"/>
        </w:rPr>
        <w:t>深圳市商务局关于对市政协七届五次会议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eastAsia="zh-CN"/>
        </w:rPr>
        <w:t>第20250079号提案答复意见的函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color w:val="000000"/>
          <w:sz w:val="32"/>
          <w:szCs w:val="32"/>
        </w:rPr>
        <w:t>尊敬的</w:t>
      </w:r>
      <w:r>
        <w:rPr>
          <w:rFonts w:hint="default" w:ascii="仿宋_GB2312" w:hAnsi="仿宋_GB2312" w:eastAsia="仿宋_GB2312" w:cs="仿宋_GB2312"/>
          <w:color w:val="000000"/>
          <w:sz w:val="32"/>
          <w:szCs w:val="32"/>
        </w:rPr>
        <w:t>周璇</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冯国章</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刘俊琳</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尹申明</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张煜</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李小龙</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张东辉</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周南</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刘晓钰</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高锦民</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吴宪</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朱小萍</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孙方平</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吴志强</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王晓蓉</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周南</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李勇</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彭国远</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高海</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林振伟</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王志毅</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孙亚富</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韩金龙</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邓文俊</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戴景华</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李小平</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刘晓勇</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张东辉</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狄刚</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方曼荻</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常远</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李捷利</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郭建</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夏炜</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杨小松委员</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提出的第</w:t>
      </w:r>
      <w:r>
        <w:rPr>
          <w:rFonts w:hint="default" w:ascii="仿宋_GB2312" w:hAnsi="仿宋_GB2312" w:eastAsia="仿宋_GB2312" w:cs="仿宋_GB2312"/>
          <w:color w:val="000000"/>
          <w:sz w:val="32"/>
          <w:szCs w:val="32"/>
        </w:rPr>
        <w:t>20250079</w:t>
      </w:r>
      <w:r>
        <w:rPr>
          <w:rFonts w:hint="eastAsia" w:ascii="仿宋_GB2312" w:hAnsi="仿宋_GB2312" w:eastAsia="仿宋_GB2312" w:cs="仿宋_GB2312"/>
          <w:color w:val="000000"/>
          <w:sz w:val="32"/>
          <w:szCs w:val="32"/>
        </w:rPr>
        <w:t>号《</w:t>
      </w:r>
      <w:r>
        <w:rPr>
          <w:rFonts w:hint="default" w:ascii="仿宋_GB2312" w:hAnsi="仿宋_GB2312" w:eastAsia="仿宋_GB2312" w:cs="仿宋_GB2312"/>
          <w:color w:val="000000"/>
          <w:sz w:val="32"/>
          <w:szCs w:val="32"/>
        </w:rPr>
        <w:t>关于发挥跨境电商产业优势，打造具有全球竞争力的垂直电商大平台的提案</w:t>
      </w:r>
      <w:r>
        <w:rPr>
          <w:rFonts w:hint="eastAsia" w:ascii="仿宋_GB2312" w:hAnsi="仿宋_GB2312" w:eastAsia="仿宋_GB2312" w:cs="仿宋_GB2312"/>
          <w:color w:val="000000"/>
          <w:sz w:val="32"/>
          <w:szCs w:val="32"/>
        </w:rPr>
        <w:t>》收悉。非常感谢</w:t>
      </w: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对深圳</w:t>
      </w:r>
      <w:r>
        <w:rPr>
          <w:rFonts w:hint="default" w:ascii="仿宋_GB2312" w:hAnsi="仿宋_GB2312" w:eastAsia="仿宋_GB2312" w:cs="仿宋_GB2312"/>
          <w:color w:val="000000"/>
          <w:sz w:val="32"/>
          <w:szCs w:val="32"/>
        </w:rPr>
        <w:t>跨境电商</w:t>
      </w:r>
      <w:r>
        <w:rPr>
          <w:rFonts w:hint="eastAsia" w:ascii="仿宋_GB2312" w:hAnsi="仿宋_GB2312" w:eastAsia="仿宋_GB2312" w:cs="仿宋_GB2312"/>
          <w:color w:val="000000"/>
          <w:sz w:val="32"/>
          <w:szCs w:val="32"/>
        </w:rPr>
        <w:t>产业发展的关心与支持。我局高度重视</w:t>
      </w: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的提案建议,经认真研究,并汇总各有关单位办理意见,现就提案办理有关情况答复如下: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一、关于</w:t>
      </w:r>
      <w:r>
        <w:rPr>
          <w:rFonts w:hint="eastAsia" w:ascii="黑体" w:hAnsi="黑体" w:eastAsia="黑体" w:cs="黑体"/>
          <w:color w:val="000000"/>
          <w:sz w:val="32"/>
          <w:szCs w:val="32"/>
        </w:rPr>
        <w:t>“</w:t>
      </w:r>
      <w:r>
        <w:rPr>
          <w:rFonts w:hint="eastAsia" w:ascii="黑体" w:hAnsi="黑体" w:eastAsia="黑体" w:cs="黑体"/>
          <w:color w:val="000000"/>
          <w:sz w:val="32"/>
          <w:szCs w:val="32"/>
          <w:lang w:val="en-US" w:eastAsia="zh-CN"/>
        </w:rPr>
        <w:t>高度关注美国贸易法案和总统令的变化，加强法律支持，为深圳跨境电商企业提供全球合规保障</w:t>
      </w:r>
      <w:r>
        <w:rPr>
          <w:rFonts w:hint="eastAsia" w:ascii="黑体" w:hAnsi="黑体" w:eastAsia="黑体" w:cs="黑体"/>
          <w:color w:val="000000"/>
          <w:sz w:val="32"/>
          <w:szCs w:val="32"/>
        </w:rPr>
        <w:t>”的建议，答复如下：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sz w:val="32"/>
          <w:szCs w:val="32"/>
          <w:lang w:eastAsia="zh-CN"/>
        </w:rPr>
        <w:t>我市高度重视跨境电商全球合规发展，</w:t>
      </w:r>
      <w:r>
        <w:rPr>
          <w:rFonts w:hint="eastAsia" w:ascii="仿宋_GB2312" w:hAnsi="仿宋_GB2312" w:eastAsia="仿宋_GB2312" w:cs="仿宋_GB2312"/>
          <w:b w:val="0"/>
          <w:bCs w:val="0"/>
          <w:sz w:val="32"/>
          <w:szCs w:val="32"/>
          <w:lang w:eastAsia="zh-CN"/>
        </w:rPr>
        <w:t>按照</w:t>
      </w:r>
      <w:r>
        <w:rPr>
          <w:rFonts w:hint="default" w:ascii="仿宋_GB2312" w:hAnsi="仿宋_GB2312" w:eastAsia="仿宋_GB2312" w:cs="仿宋_GB2312"/>
          <w:b w:val="0"/>
          <w:bCs w:val="0"/>
          <w:sz w:val="32"/>
          <w:szCs w:val="32"/>
          <w:lang w:eastAsia="zh-CN"/>
        </w:rPr>
        <w:t>国务院办公厅关于</w:t>
      </w:r>
      <w:r>
        <w:rPr>
          <w:rFonts w:hint="eastAsia" w:ascii="仿宋_GB2312" w:hAnsi="仿宋_GB2312" w:eastAsia="仿宋_GB2312" w:cs="仿宋_GB2312"/>
          <w:b w:val="0"/>
          <w:bCs w:val="0"/>
          <w:sz w:val="32"/>
          <w:szCs w:val="32"/>
          <w:lang w:eastAsia="zh-CN"/>
        </w:rPr>
        <w:t>跨境电商综合试验区</w:t>
      </w:r>
      <w:r>
        <w:rPr>
          <w:rFonts w:hint="default" w:ascii="仿宋_GB2312" w:hAnsi="仿宋_GB2312" w:eastAsia="仿宋_GB2312" w:cs="仿宋_GB2312"/>
          <w:b w:val="0"/>
          <w:bCs w:val="0"/>
          <w:sz w:val="32"/>
          <w:szCs w:val="32"/>
          <w:lang w:eastAsia="zh-CN"/>
        </w:rPr>
        <w:t>“六体系两平台”建设要求，</w:t>
      </w:r>
      <w:r>
        <w:rPr>
          <w:rFonts w:hint="eastAsia" w:ascii="仿宋_GB2312" w:hAnsi="仿宋_GB2312" w:eastAsia="仿宋_GB2312" w:cs="仿宋_GB2312"/>
          <w:b w:val="0"/>
          <w:bCs w:val="0"/>
          <w:sz w:val="32"/>
          <w:szCs w:val="32"/>
          <w:lang w:eastAsia="zh-CN"/>
        </w:rPr>
        <w:t>不断</w:t>
      </w:r>
      <w:r>
        <w:rPr>
          <w:rFonts w:hint="default" w:ascii="仿宋_GB2312" w:hAnsi="仿宋_GB2312" w:eastAsia="仿宋_GB2312" w:cs="仿宋_GB2312"/>
          <w:b w:val="0"/>
          <w:bCs w:val="0"/>
          <w:sz w:val="32"/>
          <w:szCs w:val="32"/>
          <w:lang w:eastAsia="zh-CN"/>
        </w:rPr>
        <w:t>强化跨境电商行业信息共享平台</w:t>
      </w:r>
      <w:r>
        <w:rPr>
          <w:rFonts w:hint="eastAsia" w:ascii="仿宋_GB2312" w:hAnsi="仿宋_GB2312" w:eastAsia="仿宋_GB2312" w:cs="仿宋_GB2312"/>
          <w:b w:val="0"/>
          <w:bCs w:val="0"/>
          <w:sz w:val="32"/>
          <w:szCs w:val="32"/>
          <w:lang w:eastAsia="zh-CN"/>
        </w:rPr>
        <w:t>和</w:t>
      </w:r>
      <w:r>
        <w:rPr>
          <w:rFonts w:hint="default" w:ascii="仿宋_GB2312" w:hAnsi="仿宋_GB2312" w:eastAsia="仿宋_GB2312" w:cs="仿宋_GB2312"/>
          <w:b w:val="0"/>
          <w:bCs w:val="0"/>
          <w:sz w:val="32"/>
          <w:szCs w:val="32"/>
          <w:lang w:eastAsia="zh-CN"/>
        </w:rPr>
        <w:t>风险防控服务体系</w:t>
      </w:r>
      <w:r>
        <w:rPr>
          <w:rFonts w:hint="eastAsia" w:ascii="仿宋_GB2312" w:hAnsi="仿宋_GB2312" w:eastAsia="仿宋_GB2312" w:cs="仿宋_GB2312"/>
          <w:b w:val="0"/>
          <w:bCs w:val="0"/>
          <w:sz w:val="32"/>
          <w:szCs w:val="32"/>
          <w:lang w:eastAsia="zh-CN"/>
        </w:rPr>
        <w:t>建设</w:t>
      </w:r>
      <w:r>
        <w:rPr>
          <w:rFonts w:hint="default" w:ascii="仿宋_GB2312" w:hAnsi="仿宋_GB2312" w:eastAsia="仿宋_GB2312" w:cs="仿宋_GB2312"/>
          <w:b w:val="0"/>
          <w:bCs w:val="0"/>
          <w:sz w:val="32"/>
          <w:szCs w:val="32"/>
          <w:lang w:eastAsia="zh-CN"/>
        </w:rPr>
        <w:t>。</w:t>
      </w:r>
      <w:r>
        <w:rPr>
          <w:rFonts w:hint="eastAsia" w:ascii="仿宋_GB2312" w:hAnsi="仿宋_GB2312" w:eastAsia="仿宋_GB2312" w:cs="仿宋_GB2312"/>
          <w:b/>
          <w:bCs/>
          <w:sz w:val="32"/>
          <w:szCs w:val="32"/>
          <w:lang w:val="en-US" w:eastAsia="zh-CN"/>
        </w:rPr>
        <w:t>一方面</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color w:val="000000"/>
          <w:sz w:val="32"/>
          <w:szCs w:val="32"/>
          <w:lang w:val="en-US" w:eastAsia="zh-CN"/>
        </w:rPr>
        <w:t>市商务局</w:t>
      </w:r>
      <w:r>
        <w:rPr>
          <w:rFonts w:hint="default" w:ascii="仿宋_GB2312" w:hAnsi="仿宋_GB2312" w:eastAsia="仿宋_GB2312" w:cs="仿宋_GB2312"/>
          <w:color w:val="000000"/>
          <w:sz w:val="32"/>
          <w:szCs w:val="32"/>
        </w:rPr>
        <w:t>依托深圳市跨境电线上综合服务平台，初步构建风险防控体系</w:t>
      </w:r>
      <w:r>
        <w:rPr>
          <w:rFonts w:hint="default"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结合深圳市跨境电商企业海外经营过程中遇到的风险问题，对重点</w:t>
      </w:r>
      <w:r>
        <w:rPr>
          <w:rFonts w:hint="default" w:ascii="仿宋_GB2312" w:hAnsi="仿宋_GB2312" w:eastAsia="仿宋_GB2312" w:cs="仿宋_GB2312"/>
          <w:color w:val="000000"/>
          <w:sz w:val="32"/>
          <w:szCs w:val="32"/>
          <w:lang w:val="en-US" w:eastAsia="zh-CN"/>
        </w:rPr>
        <w:t>贸易</w:t>
      </w:r>
      <w:r>
        <w:rPr>
          <w:rFonts w:hint="default" w:ascii="仿宋_GB2312" w:hAnsi="仿宋_GB2312" w:eastAsia="仿宋_GB2312" w:cs="仿宋_GB2312"/>
          <w:color w:val="000000"/>
          <w:sz w:val="32"/>
          <w:szCs w:val="32"/>
        </w:rPr>
        <w:t>市场</w:t>
      </w:r>
      <w:r>
        <w:rPr>
          <w:rFonts w:hint="default" w:ascii="仿宋_GB2312" w:hAnsi="仿宋_GB2312" w:eastAsia="仿宋_GB2312" w:cs="仿宋_GB2312"/>
          <w:color w:val="000000"/>
          <w:sz w:val="32"/>
          <w:szCs w:val="32"/>
          <w:lang w:val="en-US" w:eastAsia="zh-CN"/>
        </w:rPr>
        <w:t>法律</w:t>
      </w:r>
      <w:r>
        <w:rPr>
          <w:rFonts w:hint="default" w:ascii="仿宋_GB2312" w:hAnsi="仿宋_GB2312" w:eastAsia="仿宋_GB2312" w:cs="仿宋_GB2312"/>
          <w:color w:val="000000"/>
          <w:sz w:val="32"/>
          <w:szCs w:val="32"/>
        </w:rPr>
        <w:t>风险</w:t>
      </w:r>
      <w:r>
        <w:rPr>
          <w:rFonts w:hint="default"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合规要求等进行定期动态研究分析，定期在线上综合服务平台发布资讯、风险预警等信息，并对重点企业合规经营等方面提供培训指导，提高企业对国际规则的认知和风险抵御能力。</w:t>
      </w:r>
      <w:r>
        <w:rPr>
          <w:rFonts w:hint="default" w:ascii="仿宋_GB2312" w:hAnsi="仿宋_GB2312" w:eastAsia="仿宋_GB2312" w:cs="仿宋_GB2312"/>
          <w:color w:val="000000"/>
          <w:sz w:val="32"/>
          <w:szCs w:val="32"/>
          <w:lang w:val="en-US" w:eastAsia="zh-CN"/>
        </w:rPr>
        <w:t>2024年，共</w:t>
      </w:r>
      <w:r>
        <w:rPr>
          <w:rFonts w:hint="default" w:ascii="仿宋_GB2312" w:hAnsi="仿宋_GB2312" w:eastAsia="仿宋_GB2312" w:cs="仿宋_GB2312"/>
          <w:color w:val="000000"/>
          <w:sz w:val="32"/>
          <w:szCs w:val="32"/>
        </w:rPr>
        <w:t>发布海外风险预警信息4668条，有助于我市跨境电商企业</w:t>
      </w:r>
      <w:r>
        <w:rPr>
          <w:rFonts w:hint="default" w:ascii="仿宋_GB2312" w:hAnsi="仿宋_GB2312" w:eastAsia="仿宋_GB2312" w:cs="仿宋_GB2312"/>
          <w:color w:val="000000"/>
          <w:sz w:val="32"/>
          <w:szCs w:val="32"/>
          <w:lang w:val="en-US" w:eastAsia="zh-CN"/>
        </w:rPr>
        <w:t>有效防范法律、知识产权等合规风险</w:t>
      </w:r>
      <w:r>
        <w:rPr>
          <w:rFonts w:hint="default" w:ascii="仿宋_GB2312" w:hAnsi="仿宋_GB2312" w:eastAsia="仿宋_GB2312" w:cs="仿宋_GB2312"/>
          <w:color w:val="000000"/>
          <w:sz w:val="32"/>
          <w:szCs w:val="32"/>
        </w:rPr>
        <w:t>。</w:t>
      </w:r>
      <w:r>
        <w:rPr>
          <w:rFonts w:hint="eastAsia" w:ascii="仿宋_GB2312" w:hAnsi="仿宋_GB2312" w:eastAsia="仿宋_GB2312" w:cs="仿宋_GB2312"/>
          <w:b/>
          <w:bCs/>
          <w:sz w:val="32"/>
          <w:szCs w:val="32"/>
          <w:lang w:val="en-US" w:eastAsia="zh-CN"/>
        </w:rPr>
        <w:t>另一方面，</w:t>
      </w:r>
      <w:r>
        <w:rPr>
          <w:rFonts w:hint="default" w:ascii="仿宋_GB2312" w:hAnsi="仿宋_GB2312" w:eastAsia="仿宋_GB2312" w:cs="仿宋_GB2312"/>
          <w:b w:val="0"/>
          <w:bCs w:val="0"/>
          <w:sz w:val="32"/>
          <w:szCs w:val="32"/>
          <w:lang w:eastAsia="zh-CN"/>
        </w:rPr>
        <w:t>市商务局建设</w:t>
      </w:r>
      <w:r>
        <w:rPr>
          <w:rFonts w:hint="eastAsia" w:ascii="仿宋_GB2312" w:hAnsi="仿宋_GB2312" w:eastAsia="仿宋_GB2312" w:cs="仿宋_GB2312"/>
          <w:sz w:val="32"/>
          <w:szCs w:val="32"/>
          <w:lang w:val="en-US" w:eastAsia="zh-CN"/>
        </w:rPr>
        <w:t>电子商务大讲堂</w:t>
      </w:r>
      <w:r>
        <w:rPr>
          <w:rFonts w:hint="default" w:ascii="仿宋_GB2312" w:hAnsi="仿宋_GB2312" w:eastAsia="仿宋_GB2312" w:cs="仿宋_GB2312"/>
          <w:sz w:val="32"/>
          <w:szCs w:val="32"/>
          <w:lang w:eastAsia="zh-CN"/>
        </w:rPr>
        <w:t>平台</w:t>
      </w:r>
      <w:r>
        <w:rPr>
          <w:rFonts w:hint="eastAsia" w:ascii="仿宋_GB2312" w:hAnsi="仿宋_GB2312" w:eastAsia="仿宋_GB2312" w:cs="仿宋_GB2312"/>
          <w:sz w:val="32"/>
          <w:szCs w:val="32"/>
          <w:lang w:val="en-US" w:eastAsia="zh-CN"/>
        </w:rPr>
        <w:t>，联合深圳市标准技术研究院、</w:t>
      </w:r>
      <w:r>
        <w:rPr>
          <w:rFonts w:hint="eastAsia" w:ascii="仿宋_GB2312" w:hAnsi="仿宋_GB2312" w:eastAsia="仿宋_GB2312" w:cs="仿宋_GB2312"/>
          <w:sz w:val="32"/>
          <w:szCs w:val="32"/>
        </w:rPr>
        <w:t>深圳市众信电子商务交易保障促进中心</w:t>
      </w:r>
      <w:r>
        <w:rPr>
          <w:rFonts w:hint="eastAsia" w:ascii="仿宋_GB2312" w:hAnsi="仿宋_GB2312" w:eastAsia="仿宋_GB2312" w:cs="仿宋_GB2312"/>
          <w:sz w:val="32"/>
          <w:szCs w:val="32"/>
          <w:lang w:val="en-US" w:eastAsia="zh-CN"/>
        </w:rPr>
        <w:t>、深圳市电子商务服务中心等，邀请法律法规、海外风险、财税合规、知识产权等行业内知名专家、学者、头部企业等，开展免费培训活动，</w:t>
      </w:r>
      <w:r>
        <w:rPr>
          <w:rFonts w:hint="eastAsia" w:ascii="仿宋_GB2312" w:hAnsi="仿宋_GB2312" w:eastAsia="仿宋_GB2312" w:cs="仿宋_GB2312"/>
          <w:sz w:val="32"/>
          <w:szCs w:val="32"/>
        </w:rPr>
        <w:t>为跨境电商企业提供全球合规</w:t>
      </w:r>
      <w:r>
        <w:rPr>
          <w:rFonts w:hint="eastAsia" w:ascii="仿宋_GB2312" w:hAnsi="仿宋_GB2312" w:eastAsia="仿宋_GB2312" w:cs="仿宋_GB2312"/>
          <w:sz w:val="32"/>
          <w:szCs w:val="32"/>
          <w:lang w:val="en-US" w:eastAsia="zh-CN"/>
        </w:rPr>
        <w:t>指导。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二</w:t>
      </w:r>
      <w:r>
        <w:rPr>
          <w:rFonts w:hint="eastAsia" w:ascii="黑体" w:hAnsi="黑体" w:eastAsia="黑体" w:cs="黑体"/>
          <w:color w:val="000000"/>
          <w:sz w:val="32"/>
          <w:szCs w:val="32"/>
        </w:rPr>
        <w:t>、关于</w:t>
      </w:r>
      <w:r>
        <w:rPr>
          <w:rFonts w:hint="eastAsia" w:ascii="黑体" w:hAnsi="黑体" w:eastAsia="黑体" w:cs="黑体"/>
          <w:color w:val="000000"/>
          <w:sz w:val="32"/>
          <w:szCs w:val="32"/>
        </w:rPr>
        <w:t>“</w:t>
      </w:r>
      <w:r>
        <w:rPr>
          <w:rFonts w:hint="eastAsia" w:ascii="黑体" w:hAnsi="黑体" w:eastAsia="黑体" w:cs="黑体"/>
          <w:color w:val="000000"/>
          <w:sz w:val="32"/>
          <w:szCs w:val="32"/>
          <w:lang w:val="en-US" w:eastAsia="zh-CN"/>
        </w:rPr>
        <w:t>政策着手，金融支持，精准培育垂直跨境电商大平台</w:t>
      </w:r>
      <w:r>
        <w:rPr>
          <w:rFonts w:hint="eastAsia" w:ascii="黑体" w:hAnsi="黑体" w:eastAsia="黑体" w:cs="黑体"/>
          <w:color w:val="000000"/>
          <w:sz w:val="32"/>
          <w:szCs w:val="32"/>
        </w:rPr>
        <w:t>”的建议</w:t>
      </w:r>
      <w:r>
        <w:rPr>
          <w:rFonts w:hint="eastAsia" w:ascii="黑体" w:hAnsi="黑体" w:eastAsia="黑体" w:cs="黑体"/>
          <w:color w:val="000000"/>
          <w:sz w:val="32"/>
          <w:szCs w:val="32"/>
        </w:rPr>
        <w:t>，答复如下：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rPr>
      </w:pPr>
      <w:r>
        <w:rPr>
          <w:rFonts w:hint="eastAsia" w:ascii="仿宋_GB2312" w:hAnsi="仿宋_GB2312" w:eastAsia="仿宋_GB2312" w:cs="仿宋_GB2312"/>
          <w:b w:val="0"/>
          <w:bCs w:val="0"/>
          <w:sz w:val="32"/>
          <w:szCs w:val="32"/>
        </w:rPr>
        <w:t>我市高度重视</w:t>
      </w:r>
      <w:r>
        <w:rPr>
          <w:rFonts w:hint="default" w:ascii="仿宋_GB2312" w:hAnsi="仿宋_GB2312" w:eastAsia="仿宋_GB2312" w:cs="仿宋_GB2312"/>
          <w:b w:val="0"/>
          <w:bCs w:val="0"/>
          <w:sz w:val="32"/>
          <w:szCs w:val="32"/>
        </w:rPr>
        <w:t>跨境电商</w:t>
      </w:r>
      <w:r>
        <w:rPr>
          <w:rFonts w:hint="eastAsia" w:ascii="仿宋_GB2312" w:hAnsi="仿宋_GB2312" w:eastAsia="仿宋_GB2312" w:cs="仿宋_GB2312"/>
          <w:b w:val="0"/>
          <w:bCs w:val="0"/>
          <w:sz w:val="32"/>
          <w:szCs w:val="32"/>
        </w:rPr>
        <w:t>平台</w:t>
      </w:r>
      <w:r>
        <w:rPr>
          <w:rFonts w:hint="default" w:ascii="仿宋_GB2312" w:hAnsi="仿宋_GB2312" w:eastAsia="仿宋_GB2312" w:cs="仿宋_GB2312"/>
          <w:b w:val="0"/>
          <w:bCs w:val="0"/>
          <w:sz w:val="32"/>
          <w:szCs w:val="32"/>
        </w:rPr>
        <w:t>高质量</w:t>
      </w:r>
      <w:r>
        <w:rPr>
          <w:rFonts w:hint="eastAsia" w:ascii="仿宋_GB2312" w:hAnsi="仿宋_GB2312" w:eastAsia="仿宋_GB2312" w:cs="仿宋_GB2312"/>
          <w:b w:val="0"/>
          <w:bCs w:val="0"/>
          <w:sz w:val="32"/>
          <w:szCs w:val="32"/>
        </w:rPr>
        <w:t>发展,持续强化政策支持和服务机制保障,大力促进</w:t>
      </w:r>
      <w:r>
        <w:rPr>
          <w:rFonts w:hint="default" w:ascii="仿宋_GB2312" w:hAnsi="仿宋_GB2312" w:eastAsia="仿宋_GB2312" w:cs="仿宋_GB2312"/>
          <w:b w:val="0"/>
          <w:bCs w:val="0"/>
          <w:sz w:val="32"/>
          <w:szCs w:val="32"/>
        </w:rPr>
        <w:t>垂直跨境电商</w:t>
      </w:r>
      <w:r>
        <w:rPr>
          <w:rFonts w:hint="eastAsia" w:ascii="仿宋_GB2312" w:hAnsi="仿宋_GB2312" w:eastAsia="仿宋_GB2312" w:cs="仿宋_GB2312"/>
          <w:b w:val="0"/>
          <w:bCs w:val="0"/>
          <w:sz w:val="32"/>
          <w:szCs w:val="32"/>
        </w:rPr>
        <w:t>平台发展壮大。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优化产业生态。市商务局</w:t>
      </w:r>
      <w:r>
        <w:rPr>
          <w:rFonts w:hint="default" w:ascii="仿宋_GB2312" w:hAnsi="仿宋_GB2312" w:eastAsia="仿宋_GB2312" w:cs="仿宋_GB2312"/>
          <w:b w:val="0"/>
          <w:bCs w:val="0"/>
          <w:sz w:val="32"/>
          <w:szCs w:val="32"/>
          <w:lang w:eastAsia="zh-CN"/>
        </w:rPr>
        <w:t>牵头于</w:t>
      </w:r>
      <w:r>
        <w:rPr>
          <w:rFonts w:hint="eastAsia" w:ascii="仿宋_GB2312" w:hAnsi="仿宋_GB2312" w:eastAsia="仿宋_GB2312" w:cs="仿宋_GB2312"/>
          <w:b w:val="0"/>
          <w:bCs w:val="0"/>
          <w:sz w:val="32"/>
          <w:szCs w:val="32"/>
          <w:lang w:val="en-US" w:eastAsia="zh-CN"/>
        </w:rPr>
        <w:t>2024年</w:t>
      </w:r>
      <w:r>
        <w:rPr>
          <w:rFonts w:hint="default" w:ascii="仿宋_GB2312" w:hAnsi="仿宋_GB2312" w:eastAsia="仿宋_GB2312" w:cs="仿宋_GB2312"/>
          <w:b w:val="0"/>
          <w:bCs w:val="0"/>
          <w:sz w:val="32"/>
          <w:szCs w:val="32"/>
          <w:lang w:eastAsia="zh-CN"/>
        </w:rPr>
        <w:t>12月</w:t>
      </w:r>
      <w:r>
        <w:rPr>
          <w:rFonts w:hint="eastAsia" w:ascii="仿宋_GB2312" w:hAnsi="仿宋_GB2312" w:eastAsia="仿宋_GB2312" w:cs="仿宋_GB2312"/>
          <w:b w:val="0"/>
          <w:bCs w:val="0"/>
          <w:sz w:val="32"/>
          <w:szCs w:val="32"/>
          <w:lang w:val="en-US" w:eastAsia="zh-CN"/>
        </w:rPr>
        <w:t>印发实施</w:t>
      </w:r>
      <w:r>
        <w:rPr>
          <w:rFonts w:hint="default" w:ascii="仿宋_GB2312" w:hAnsi="仿宋_GB2312" w:eastAsia="仿宋_GB2312" w:cs="仿宋_GB2312"/>
          <w:sz w:val="32"/>
          <w:szCs w:val="32"/>
        </w:rPr>
        <w:t>《深圳市关于推动跨境电子商务高质量发展的实施方案》等系列跨境电商产业促进</w:t>
      </w:r>
      <w:r>
        <w:rPr>
          <w:rFonts w:hint="eastAsia" w:ascii="仿宋_GB2312" w:hAnsi="仿宋_GB2312" w:eastAsia="仿宋_GB2312" w:cs="仿宋_GB2312"/>
          <w:sz w:val="32"/>
          <w:szCs w:val="32"/>
          <w:lang w:val="en-US" w:eastAsia="zh-CN"/>
        </w:rPr>
        <w:t>以及资金</w:t>
      </w:r>
      <w:r>
        <w:rPr>
          <w:rFonts w:hint="default" w:ascii="仿宋_GB2312" w:hAnsi="仿宋_GB2312" w:eastAsia="仿宋_GB2312" w:cs="仿宋_GB2312"/>
          <w:sz w:val="32"/>
          <w:szCs w:val="32"/>
        </w:rPr>
        <w:t>政策。</w:t>
      </w:r>
      <w:r>
        <w:rPr>
          <w:rFonts w:hint="eastAsia" w:ascii="仿宋_GB2312" w:hAnsi="仿宋_GB2312" w:eastAsia="仿宋_GB2312" w:cs="仿宋_GB2312"/>
          <w:sz w:val="32"/>
          <w:szCs w:val="32"/>
          <w:lang w:val="en-US" w:eastAsia="zh-CN"/>
        </w:rPr>
        <w:t>重点</w:t>
      </w:r>
      <w:r>
        <w:rPr>
          <w:rFonts w:hint="default" w:ascii="仿宋_GB2312" w:hAnsi="仿宋_GB2312" w:eastAsia="仿宋_GB2312" w:cs="仿宋_GB2312"/>
          <w:sz w:val="32"/>
          <w:szCs w:val="32"/>
        </w:rPr>
        <w:t>支持平台型、贸易型、服务型等各类主体发展“跨境电商+产业带”出海模式。支持跨境电商品牌独立站发展。支持跨境物流、海外仓企业优化欧美海外仓布局，智能化建设，提升信息化运营水平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持续优化跨境电商全产业生态，加速培育本地跨境电商平台企业，支持垂直类跨境电商平台企业整合金融、物流、仓储、加工及设计等供应链资源，向综合服务平台企业转型。</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i w:val="0"/>
          <w:iCs w:val="0"/>
          <w:caps w:val="0"/>
          <w:spacing w:val="0"/>
          <w:sz w:val="32"/>
          <w:szCs w:val="32"/>
          <w:shd w:val="clear"/>
        </w:rPr>
        <w:t>组建多元联盟</w:t>
      </w:r>
      <w:r>
        <w:rPr>
          <w:rFonts w:hint="eastAsia" w:ascii="仿宋_GB2312" w:hAnsi="仿宋_GB2312" w:eastAsia="仿宋_GB2312" w:cs="仿宋_GB2312"/>
          <w:b w:val="0"/>
          <w:bCs w:val="0"/>
          <w:i w:val="0"/>
          <w:iCs w:val="0"/>
          <w:caps w:val="0"/>
          <w:spacing w:val="0"/>
          <w:sz w:val="32"/>
          <w:szCs w:val="32"/>
          <w:shd w:val="clear"/>
          <w:lang w:eastAsia="zh-CN"/>
        </w:rPr>
        <w:t>。</w:t>
      </w:r>
      <w:r>
        <w:rPr>
          <w:rFonts w:hint="eastAsia" w:ascii="仿宋_GB2312" w:hAnsi="仿宋_GB2312" w:eastAsia="仿宋_GB2312" w:cs="仿宋_GB2312"/>
          <w:b w:val="0"/>
          <w:bCs w:val="0"/>
          <w:sz w:val="32"/>
          <w:szCs w:val="32"/>
          <w:lang w:val="en-US" w:eastAsia="zh-CN"/>
        </w:rPr>
        <w:t>市商务局</w:t>
      </w:r>
      <w:r>
        <w:rPr>
          <w:rFonts w:hint="default" w:ascii="仿宋_GB2312" w:hAnsi="仿宋_GB2312" w:eastAsia="仿宋_GB2312" w:cs="仿宋_GB2312"/>
          <w:b w:val="0"/>
          <w:bCs w:val="0"/>
          <w:sz w:val="32"/>
          <w:szCs w:val="32"/>
          <w:lang w:eastAsia="zh-CN"/>
        </w:rPr>
        <w:t>大力</w:t>
      </w:r>
      <w:r>
        <w:rPr>
          <w:rFonts w:hint="eastAsia" w:ascii="仿宋_GB2312" w:hAnsi="仿宋_GB2312" w:eastAsia="仿宋_GB2312" w:cs="仿宋_GB2312"/>
          <w:b w:val="0"/>
          <w:bCs w:val="0"/>
          <w:sz w:val="32"/>
          <w:szCs w:val="32"/>
          <w:lang w:val="en-US" w:eastAsia="zh-CN"/>
        </w:rPr>
        <w:t>支持园区、</w:t>
      </w:r>
      <w:r>
        <w:rPr>
          <w:rFonts w:hint="eastAsia" w:ascii="仿宋_GB2312" w:hAnsi="仿宋_GB2312" w:eastAsia="仿宋_GB2312" w:cs="仿宋_GB2312"/>
          <w:sz w:val="32"/>
          <w:szCs w:val="32"/>
        </w:rPr>
        <w:t>跨境电商大卖家、服务平台、上下游行业协会等</w:t>
      </w:r>
      <w:r>
        <w:rPr>
          <w:rFonts w:hint="eastAsia" w:ascii="仿宋_GB2312" w:hAnsi="仿宋_GB2312" w:eastAsia="仿宋_GB2312" w:cs="仿宋_GB2312"/>
          <w:sz w:val="32"/>
          <w:szCs w:val="32"/>
          <w:lang w:val="en-US" w:eastAsia="zh-CN"/>
        </w:rPr>
        <w:t>组建“</w:t>
      </w:r>
      <w:r>
        <w:rPr>
          <w:rFonts w:hint="eastAsia" w:ascii="仿宋_GB2312" w:hAnsi="仿宋_GB2312" w:eastAsia="仿宋_GB2312" w:cs="仿宋_GB2312"/>
          <w:sz w:val="32"/>
          <w:szCs w:val="32"/>
        </w:rPr>
        <w:t>深圳跨境电商服务联盟与跨境电商卖家联盟</w:t>
      </w:r>
      <w:r>
        <w:rPr>
          <w:rFonts w:hint="eastAsia" w:ascii="仿宋_GB2312" w:hAnsi="仿宋_GB2312" w:eastAsia="仿宋_GB2312" w:cs="仿宋_GB2312"/>
          <w:sz w:val="32"/>
          <w:szCs w:val="32"/>
          <w:lang w:val="en-US" w:eastAsia="zh-CN"/>
        </w:rPr>
        <w:t>”“湾企出海研究院”等10余个产业联盟、行业协会以及智库平台，</w:t>
      </w:r>
      <w:r>
        <w:rPr>
          <w:rFonts w:hint="eastAsia" w:ascii="仿宋_GB2312" w:hAnsi="仿宋_GB2312" w:eastAsia="仿宋_GB2312" w:cs="仿宋_GB2312"/>
          <w:sz w:val="32"/>
          <w:szCs w:val="32"/>
        </w:rPr>
        <w:t>汇聚行业力量，</w:t>
      </w:r>
      <w:r>
        <w:rPr>
          <w:rFonts w:hint="eastAsia" w:ascii="仿宋_GB2312" w:hAnsi="仿宋_GB2312" w:eastAsia="仿宋_GB2312" w:cs="仿宋_GB2312"/>
          <w:sz w:val="32"/>
          <w:szCs w:val="32"/>
          <w:lang w:val="en-US" w:eastAsia="zh-CN"/>
        </w:rPr>
        <w:t>为企业出海提供全方位支持，</w:t>
      </w:r>
      <w:r>
        <w:rPr>
          <w:rFonts w:hint="eastAsia" w:ascii="仿宋_GB2312" w:hAnsi="仿宋_GB2312" w:eastAsia="仿宋_GB2312" w:cs="仿宋_GB2312"/>
          <w:sz w:val="32"/>
          <w:szCs w:val="32"/>
        </w:rPr>
        <w:t>共助</w:t>
      </w:r>
      <w:r>
        <w:rPr>
          <w:rFonts w:hint="eastAsia" w:ascii="仿宋_GB2312" w:hAnsi="仿宋_GB2312" w:eastAsia="仿宋_GB2312" w:cs="仿宋_GB2312"/>
          <w:sz w:val="32"/>
          <w:szCs w:val="32"/>
          <w:lang w:val="en-US" w:eastAsia="zh-CN"/>
        </w:rPr>
        <w:t>中国</w:t>
      </w:r>
      <w:r>
        <w:rPr>
          <w:rFonts w:hint="eastAsia" w:ascii="仿宋_GB2312" w:hAnsi="仿宋_GB2312" w:eastAsia="仿宋_GB2312" w:cs="仿宋_GB2312"/>
          <w:sz w:val="32"/>
          <w:szCs w:val="32"/>
        </w:rPr>
        <w:t>跨境电商</w:t>
      </w:r>
      <w:r>
        <w:rPr>
          <w:rFonts w:hint="eastAsia" w:ascii="仿宋_GB2312" w:hAnsi="仿宋_GB2312" w:eastAsia="仿宋_GB2312" w:cs="仿宋_GB2312"/>
          <w:sz w:val="32"/>
          <w:szCs w:val="32"/>
          <w:lang w:val="en-US" w:eastAsia="zh-CN"/>
        </w:rPr>
        <w:t>品牌</w:t>
      </w:r>
      <w:r>
        <w:rPr>
          <w:rFonts w:hint="eastAsia" w:ascii="仿宋_GB2312" w:hAnsi="仿宋_GB2312" w:eastAsia="仿宋_GB2312" w:cs="仿宋_GB2312"/>
          <w:sz w:val="32"/>
          <w:szCs w:val="32"/>
        </w:rPr>
        <w:t>锻造国际影响力</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b/>
          <w:bCs/>
          <w:kern w:val="2"/>
          <w:sz w:val="32"/>
          <w:szCs w:val="32"/>
          <w:lang w:eastAsia="zh-CN" w:bidi="ar-SA"/>
        </w:rPr>
        <w:t>三</w:t>
      </w:r>
      <w:r>
        <w:rPr>
          <w:rFonts w:hint="default" w:ascii="仿宋_GB2312" w:hAnsi="仿宋_GB2312" w:eastAsia="仿宋_GB2312" w:cs="仿宋_GB2312"/>
          <w:b/>
          <w:bCs/>
          <w:kern w:val="2"/>
          <w:sz w:val="32"/>
          <w:szCs w:val="32"/>
          <w:lang w:val="en-US" w:eastAsia="zh-CN" w:bidi="ar-SA"/>
        </w:rPr>
        <w:t>是</w:t>
      </w:r>
      <w:r>
        <w:rPr>
          <w:rFonts w:hint="default" w:ascii="仿宋_GB2312" w:hAnsi="仿宋_GB2312" w:eastAsia="仿宋_GB2312" w:cs="仿宋_GB2312"/>
          <w:b w:val="0"/>
          <w:bCs w:val="0"/>
          <w:kern w:val="2"/>
          <w:sz w:val="32"/>
          <w:szCs w:val="32"/>
          <w:lang w:eastAsia="zh-CN" w:bidi="ar-SA"/>
        </w:rPr>
        <w:t>搭建对接桥梁。市市场监管局联动市商务局</w:t>
      </w:r>
      <w:r>
        <w:rPr>
          <w:rFonts w:hint="default" w:ascii="仿宋_GB2312" w:hAnsi="仿宋_GB2312" w:eastAsia="仿宋_GB2312" w:cs="仿宋_GB2312"/>
          <w:kern w:val="2"/>
          <w:sz w:val="32"/>
          <w:szCs w:val="32"/>
          <w:lang w:val="en-US" w:eastAsia="zh-CN" w:bidi="ar-SA"/>
        </w:rPr>
        <w:t>指导相关行业机构、跨境电商平台企业举办交流培训活动，帮助跨境电商平台与深圳跨境电商经营者建立对接桥梁，促进合规出海。2024年累计举办4场活动：“启航新程·携手Shein＆eMAG”服饰鞋包＆数码3C企业出海策略与合规发展交流会；SHEIN招商大会•欧洲黑五重点类目买手交流会；“欧美货盘出海合规”产业带精品选品源头工厂一站式对接会；服装产业带跨境出海全攻略：平台赋能与合规发展交流会，覆盖企业近200家。同时，指导行业机构与日本乐天等国际主流电商平台建立合作，为平台提供入驻商户审核服务，助力企业高效入驻跨境电商平台。</w:t>
      </w:r>
      <w:r>
        <w:rPr>
          <w:rFonts w:hint="default" w:ascii="仿宋_GB2312" w:hAnsi="仿宋_GB2312" w:eastAsia="仿宋_GB2312" w:cs="仿宋_GB2312"/>
          <w:b/>
          <w:bCs/>
          <w:kern w:val="2"/>
          <w:sz w:val="32"/>
          <w:szCs w:val="32"/>
          <w:lang w:eastAsia="zh-CN" w:bidi="ar-SA"/>
        </w:rPr>
        <w:t>四</w:t>
      </w:r>
      <w:r>
        <w:rPr>
          <w:rFonts w:hint="default" w:ascii="仿宋_GB2312" w:hAnsi="仿宋_GB2312" w:eastAsia="仿宋_GB2312" w:cs="仿宋_GB2312"/>
          <w:b/>
          <w:bCs/>
          <w:kern w:val="2"/>
          <w:sz w:val="32"/>
          <w:szCs w:val="32"/>
          <w:lang w:val="en-US" w:eastAsia="zh-CN" w:bidi="ar-SA"/>
        </w:rPr>
        <w:t>是</w:t>
      </w:r>
      <w:r>
        <w:rPr>
          <w:rFonts w:hint="default" w:ascii="仿宋_GB2312" w:hAnsi="仿宋_GB2312" w:eastAsia="仿宋_GB2312" w:cs="仿宋_GB2312"/>
          <w:b w:val="0"/>
          <w:bCs w:val="0"/>
          <w:kern w:val="2"/>
          <w:sz w:val="32"/>
          <w:szCs w:val="32"/>
          <w:lang w:eastAsia="zh-CN" w:bidi="ar-SA"/>
        </w:rPr>
        <w:t>推动标准制定。市市场监管局协同市商务局</w:t>
      </w:r>
      <w:r>
        <w:rPr>
          <w:rFonts w:hint="default" w:ascii="仿宋_GB2312" w:hAnsi="仿宋_GB2312" w:eastAsia="仿宋_GB2312" w:cs="仿宋_GB2312"/>
          <w:kern w:val="2"/>
          <w:sz w:val="32"/>
          <w:szCs w:val="32"/>
          <w:lang w:val="en-US" w:eastAsia="zh-CN" w:bidi="ar-SA"/>
        </w:rPr>
        <w:t>持续鼓励行业组织、龙头企业参与国际标准制定，开展2025年度深圳标准领域专项资金资助奖励项目申报，梯度出台制度规范，截至目前已发布《跨境电子商务海外仓企业信用评价规范》《珠宝贵金属产品直播营销管理要求》《深圳市直播带货合规指引》等五类七项地方标准或合规指引，引导平台提升合规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w:t>
      </w:r>
      <w:r>
        <w:rPr>
          <w:rFonts w:hint="default" w:ascii="黑体" w:hAnsi="黑体" w:eastAsia="黑体" w:cs="黑体"/>
          <w:sz w:val="32"/>
          <w:szCs w:val="32"/>
        </w:rPr>
        <w:t>、</w:t>
      </w:r>
      <w:r>
        <w:rPr>
          <w:rFonts w:hint="eastAsia" w:ascii="黑体" w:hAnsi="黑体" w:eastAsia="黑体" w:cs="黑体"/>
          <w:sz w:val="32"/>
          <w:szCs w:val="32"/>
        </w:rPr>
        <w:t>关于</w:t>
      </w:r>
      <w:r>
        <w:rPr>
          <w:rFonts w:hint="eastAsia" w:ascii="黑体" w:hAnsi="黑体" w:eastAsia="黑体" w:cs="黑体"/>
          <w:sz w:val="32"/>
          <w:szCs w:val="32"/>
        </w:rPr>
        <w:t>“优化跨境支付环境，完善外汇服务配套”的建议，答复如下：</w:t>
      </w:r>
    </w:p>
    <w:p>
      <w:pPr>
        <w:keepNext w:val="0"/>
        <w:keepLines w:val="0"/>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人民银行深圳市分行、国家外汇管理局深圳市分局积极落实《国家外汇管理局关于支持贸易新业态发展的通知》(汇发〔2020〕11号),在中国人民银行、国家外汇管理局的指导下，探索创新跨境支付创新方案，支持本地支付机构与银行创新展业模式，不断提升企业跨境收支便利化水平。</w:t>
      </w:r>
    </w:p>
    <w:p>
      <w:pPr>
        <w:keepNext w:val="0"/>
        <w:keepLines w:val="0"/>
        <w:pageBreakBefore w:val="0"/>
        <w:widowControl/>
        <w:kinsoku/>
        <w:wordWrap/>
        <w:overflowPunct/>
        <w:topLinePunct w:val="0"/>
        <w:autoSpaceDE/>
        <w:autoSpaceDN/>
        <w:bidi w:val="0"/>
        <w:spacing w:line="560"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支持本地支付机构与银行创新展业模式，不断完善跨境电商领域外汇配套服务</w:t>
      </w:r>
    </w:p>
    <w:p>
      <w:pPr>
        <w:keepNext w:val="0"/>
        <w:keepLines w:val="0"/>
        <w:pageBreakBefore w:val="0"/>
        <w:widowControl/>
        <w:kinsoku/>
        <w:wordWrap/>
        <w:overflowPunct/>
        <w:topLinePunct w:val="0"/>
        <w:autoSpaceDE/>
        <w:autoSpaceDN/>
        <w:bidi w:val="0"/>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支持辖内银行与境内持牌、合规经营的境外支付机构合作，为卖家提供外汇原币结算服务。银行可申请凭交易电子信息的审核方式，在做好风险防控前提下，通过与境内持牌机构系统</w:t>
      </w:r>
      <w:r>
        <w:rPr>
          <w:rFonts w:hint="eastAsia" w:ascii="仿宋_GB2312" w:hAnsi="仿宋_GB2312" w:eastAsia="仿宋_GB2312" w:cs="仿宋_GB2312"/>
          <w:sz w:val="32"/>
          <w:szCs w:val="32"/>
          <w:lang w:val="en-US" w:eastAsia="zh-CN"/>
        </w:rPr>
        <w:t>直</w:t>
      </w:r>
      <w:r>
        <w:rPr>
          <w:rFonts w:hint="eastAsia" w:ascii="仿宋_GB2312" w:hAnsi="仿宋_GB2312" w:eastAsia="仿宋_GB2312" w:cs="仿宋_GB2312"/>
          <w:sz w:val="32"/>
          <w:szCs w:val="32"/>
        </w:rPr>
        <w:t>连对接获取的电子信息，为境内卖家办理资金划转。</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支持境内银行与跨境电商平台合作，在满足交易信息采集、真实性审核等条件下，凭交易电子信息为跨境电商进出口企业提供收结汇服务。目前，深圳已有多家银行和支付机构开展凭交易电子信息办理跨境电商外汇业务。</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支持本地支付机构在合规展业的前提下，与跨境电商平台合作，服务境内消费者开展进口购付汇业务。财付通支付科技有限公司已与京东、沃尔玛等电商平台建立直联合作，通过电商平台的订单信息，为跨境消费者提供购付汇服务。</w:t>
      </w:r>
    </w:p>
    <w:p>
      <w:pPr>
        <w:keepNext w:val="0"/>
        <w:keepLines w:val="0"/>
        <w:pageBreakBefore w:val="0"/>
        <w:widowControl/>
        <w:kinsoku/>
        <w:wordWrap/>
        <w:overflowPunct/>
        <w:topLinePunct w:val="0"/>
        <w:autoSpaceDE/>
        <w:autoSpaceDN/>
        <w:bidi w:val="0"/>
        <w:spacing w:line="560" w:lineRule="exact"/>
        <w:ind w:firstLine="642" w:firstLineChars="200"/>
        <w:textAlignment w:val="auto"/>
        <w:rPr>
          <w:rFonts w:hint="default"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default" w:ascii="仿宋_GB2312" w:hAnsi="仿宋_GB2312" w:eastAsia="仿宋_GB2312" w:cs="仿宋_GB2312"/>
          <w:b/>
          <w:bCs/>
          <w:sz w:val="32"/>
          <w:szCs w:val="32"/>
        </w:rPr>
        <w:t>积极推动跨境资金池业务试点，提升企业跨境收支便利化水平</w:t>
      </w:r>
    </w:p>
    <w:p>
      <w:pPr>
        <w:keepNext w:val="0"/>
        <w:keepLines w:val="0"/>
        <w:pageBreakBefore w:val="0"/>
        <w:widowControl/>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深圳已构建“通用版+高版本”资金池政策体系，支持符合条件的集团企业申请开展跨境资金池业务。</w:t>
      </w:r>
      <w:r>
        <w:rPr>
          <w:rFonts w:hint="default" w:ascii="仿宋_GB2312" w:hAnsi="仿宋_GB2312" w:eastAsia="仿宋_GB2312" w:cs="仿宋_GB2312"/>
          <w:b/>
          <w:bCs/>
          <w:sz w:val="32"/>
          <w:szCs w:val="32"/>
        </w:rPr>
        <w:t>一是</w:t>
      </w:r>
      <w:r>
        <w:rPr>
          <w:rFonts w:hint="default" w:ascii="仿宋_GB2312" w:hAnsi="仿宋_GB2312" w:eastAsia="仿宋_GB2312" w:cs="仿宋_GB2312"/>
          <w:sz w:val="32"/>
          <w:szCs w:val="32"/>
        </w:rPr>
        <w:t>深圳率先获批开展跨国公司本外币跨境资金集中运营管理业务试点(通用版资金池)。2023年，《国家外汇管理局关于开展跨国公司本外币跨境资金集中运营管理业务试点的通知》(汇发〔2023〕12号),支持符合条件的跨国公司开展本外币跨境资金池业务，大幅降低企业的准入门槛。</w:t>
      </w:r>
      <w:r>
        <w:rPr>
          <w:rFonts w:hint="default" w:ascii="仿宋_GB2312" w:hAnsi="仿宋_GB2312" w:eastAsia="仿宋_GB2312" w:cs="仿宋_GB2312"/>
          <w:b/>
          <w:bCs/>
          <w:sz w:val="32"/>
          <w:szCs w:val="32"/>
        </w:rPr>
        <w:t>二是</w:t>
      </w:r>
      <w:r>
        <w:rPr>
          <w:rFonts w:hint="default" w:ascii="仿宋_GB2312" w:hAnsi="仿宋_GB2312" w:eastAsia="仿宋_GB2312" w:cs="仿宋_GB2312"/>
          <w:sz w:val="32"/>
          <w:szCs w:val="32"/>
        </w:rPr>
        <w:t>深圳全国首批落地本外币一体化资金池试点(高版本资金池)。2021年，国家外汇管理局批复同意在深圳开展跨国公司本外币一体化资金池业务试点。2024年，《国家外汇管理局关于优化跨国公司本外币一体化资金池业务试点的通知》(汇发〔2024〕31号),本外币一体化资金池试点获迭代升级。进一步降低跨国公司融资成本，提升企业跨境收支便利化水平和跨境资金运营管理效能，进一步提高资金使用效率。</w:t>
      </w:r>
    </w:p>
    <w:p>
      <w:pPr>
        <w:keepNext w:val="0"/>
        <w:keepLines w:val="0"/>
        <w:pageBreakBefore w:val="0"/>
        <w:kinsoku/>
        <w:wordWrap/>
        <w:overflowPunct/>
        <w:topLinePunct w:val="0"/>
        <w:autoSpaceDE/>
        <w:autoSpaceDN/>
        <w:bidi w:val="0"/>
        <w:spacing w:line="560" w:lineRule="exact"/>
        <w:ind w:firstLine="640" w:firstLineChars="200"/>
        <w:textAlignment w:val="auto"/>
        <w:rPr>
          <w:rStyle w:val="14"/>
          <w:rFonts w:hint="eastAsia" w:ascii="黑体" w:hAnsi="黑体" w:eastAsia="黑体" w:cs="黑体"/>
          <w:sz w:val="32"/>
          <w:szCs w:val="32"/>
          <w:lang w:eastAsia="zh-CN"/>
        </w:rPr>
      </w:pPr>
      <w:r>
        <w:rPr>
          <w:rStyle w:val="14"/>
          <w:rFonts w:hint="eastAsia" w:ascii="黑体" w:hAnsi="黑体" w:eastAsia="黑体" w:cs="黑体"/>
          <w:sz w:val="32"/>
          <w:szCs w:val="32"/>
          <w:lang w:eastAsia="zh-CN"/>
        </w:rPr>
        <w:t>四</w:t>
      </w:r>
      <w:r>
        <w:rPr>
          <w:rStyle w:val="14"/>
          <w:rFonts w:hint="eastAsia" w:ascii="黑体" w:hAnsi="黑体" w:eastAsia="黑体" w:cs="黑体"/>
          <w:sz w:val="32"/>
          <w:szCs w:val="32"/>
          <w:lang w:eastAsia="zh-CN"/>
        </w:rPr>
        <w:t>、关于</w:t>
      </w:r>
      <w:r>
        <w:rPr>
          <w:rStyle w:val="14"/>
          <w:rFonts w:hint="eastAsia" w:ascii="黑体" w:hAnsi="黑体" w:eastAsia="黑体" w:cs="黑体"/>
          <w:sz w:val="32"/>
          <w:szCs w:val="32"/>
          <w:lang w:eastAsia="zh-CN"/>
        </w:rPr>
        <w:t>“</w:t>
      </w:r>
      <w:r>
        <w:rPr>
          <w:rStyle w:val="14"/>
          <w:rFonts w:hint="eastAsia" w:ascii="黑体" w:hAnsi="黑体" w:eastAsia="黑体" w:cs="黑体"/>
          <w:sz w:val="32"/>
          <w:szCs w:val="32"/>
        </w:rPr>
        <w:t>提升大湾区数据协作效能，以跨境电商带动</w:t>
      </w:r>
      <w:r>
        <w:rPr>
          <w:rStyle w:val="14"/>
          <w:rFonts w:hint="eastAsia" w:ascii="黑体" w:hAnsi="黑体" w:eastAsia="黑体" w:cs="黑体"/>
          <w:sz w:val="32"/>
          <w:szCs w:val="32"/>
          <w:lang w:eastAsia="zh-CN"/>
        </w:rPr>
        <w:t>‘</w:t>
      </w:r>
      <w:r>
        <w:rPr>
          <w:rStyle w:val="14"/>
          <w:rFonts w:hint="eastAsia" w:ascii="黑体" w:hAnsi="黑体" w:eastAsia="黑体" w:cs="黑体"/>
          <w:sz w:val="32"/>
          <w:szCs w:val="32"/>
        </w:rPr>
        <w:t>大湾区产业带</w:t>
      </w:r>
      <w:r>
        <w:rPr>
          <w:rStyle w:val="14"/>
          <w:rFonts w:hint="eastAsia" w:ascii="黑体" w:hAnsi="黑体" w:eastAsia="黑体" w:cs="黑体"/>
          <w:sz w:val="32"/>
          <w:szCs w:val="32"/>
          <w:lang w:eastAsia="zh-CN"/>
        </w:rPr>
        <w:t>’”的建议，答复如下：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highlight w:val="none"/>
          <w:lang w:eastAsia="zh-CN"/>
        </w:rPr>
        <w:t>市商务局</w:t>
      </w:r>
      <w:r>
        <w:rPr>
          <w:rFonts w:hint="eastAsia" w:ascii="仿宋_GB2312" w:hAnsi="仿宋_GB2312" w:eastAsia="仿宋_GB2312" w:cs="仿宋_GB2312"/>
          <w:b w:val="0"/>
          <w:bCs w:val="0"/>
          <w:sz w:val="32"/>
          <w:szCs w:val="32"/>
          <w:highlight w:val="none"/>
          <w:lang w:val="en-US" w:eastAsia="zh-CN"/>
        </w:rPr>
        <w:t>围绕</w:t>
      </w:r>
      <w:r>
        <w:rPr>
          <w:rFonts w:hint="default" w:ascii="仿宋_GB2312" w:hAnsi="仿宋_GB2312" w:eastAsia="仿宋_GB2312" w:cs="仿宋_GB2312"/>
          <w:b w:val="0"/>
          <w:bCs w:val="0"/>
          <w:sz w:val="32"/>
          <w:szCs w:val="32"/>
          <w:highlight w:val="none"/>
          <w:lang w:eastAsia="zh-CN"/>
        </w:rPr>
        <w:t>品牌打造</w:t>
      </w:r>
      <w:r>
        <w:rPr>
          <w:rFonts w:hint="eastAsia" w:ascii="仿宋_GB2312" w:hAnsi="仿宋_GB2312" w:eastAsia="仿宋_GB2312" w:cs="仿宋_GB2312"/>
          <w:b w:val="0"/>
          <w:bCs w:val="0"/>
          <w:sz w:val="32"/>
          <w:szCs w:val="32"/>
          <w:highlight w:val="none"/>
          <w:lang w:val="en-US" w:eastAsia="zh-CN"/>
        </w:rPr>
        <w:t>、生态</w:t>
      </w:r>
      <w:r>
        <w:rPr>
          <w:rFonts w:hint="default" w:ascii="仿宋_GB2312" w:hAnsi="仿宋_GB2312" w:eastAsia="仿宋_GB2312" w:cs="仿宋_GB2312"/>
          <w:b w:val="0"/>
          <w:bCs w:val="0"/>
          <w:sz w:val="32"/>
          <w:szCs w:val="32"/>
          <w:highlight w:val="none"/>
          <w:lang w:eastAsia="zh-CN"/>
        </w:rPr>
        <w:t>创建</w:t>
      </w:r>
      <w:r>
        <w:rPr>
          <w:rFonts w:hint="eastAsia" w:ascii="仿宋_GB2312" w:hAnsi="仿宋_GB2312" w:eastAsia="仿宋_GB2312" w:cs="仿宋_GB2312"/>
          <w:b w:val="0"/>
          <w:bCs w:val="0"/>
          <w:sz w:val="32"/>
          <w:szCs w:val="32"/>
          <w:highlight w:val="none"/>
          <w:lang w:val="en-US" w:eastAsia="zh-CN"/>
        </w:rPr>
        <w:t>、</w:t>
      </w:r>
      <w:r>
        <w:rPr>
          <w:rFonts w:hint="default" w:ascii="仿宋_GB2312" w:hAnsi="仿宋_GB2312" w:eastAsia="仿宋_GB2312" w:cs="仿宋_GB2312"/>
          <w:b w:val="0"/>
          <w:bCs w:val="0"/>
          <w:sz w:val="32"/>
          <w:szCs w:val="32"/>
          <w:highlight w:val="none"/>
          <w:lang w:eastAsia="zh-CN"/>
        </w:rPr>
        <w:t>区域协同、模式创新</w:t>
      </w:r>
      <w:r>
        <w:rPr>
          <w:rFonts w:hint="eastAsia" w:ascii="仿宋_GB2312" w:hAnsi="仿宋_GB2312" w:eastAsia="仿宋_GB2312" w:cs="仿宋_GB2312"/>
          <w:b w:val="0"/>
          <w:bCs w:val="0"/>
          <w:sz w:val="32"/>
          <w:szCs w:val="32"/>
          <w:highlight w:val="none"/>
          <w:lang w:val="en-US" w:eastAsia="zh-CN"/>
        </w:rPr>
        <w:t>等方向,通过系统性举措</w:t>
      </w:r>
      <w:r>
        <w:rPr>
          <w:rFonts w:hint="default" w:ascii="仿宋_GB2312" w:hAnsi="仿宋_GB2312" w:eastAsia="仿宋_GB2312" w:cs="仿宋_GB2312"/>
          <w:b w:val="0"/>
          <w:bCs w:val="0"/>
          <w:sz w:val="32"/>
          <w:szCs w:val="32"/>
          <w:highlight w:val="none"/>
          <w:lang w:eastAsia="zh-CN"/>
        </w:rPr>
        <w:t>整合跨境电商上下游供应链资源，</w:t>
      </w:r>
      <w:r>
        <w:rPr>
          <w:rFonts w:hint="eastAsia" w:ascii="仿宋_GB2312" w:hAnsi="仿宋_GB2312" w:eastAsia="仿宋_GB2312" w:cs="仿宋_GB2312"/>
          <w:b w:val="0"/>
          <w:bCs w:val="0"/>
          <w:sz w:val="32"/>
          <w:szCs w:val="32"/>
          <w:highlight w:val="none"/>
          <w:lang w:val="en-US" w:eastAsia="zh-CN"/>
        </w:rPr>
        <w:t>全面激活</w:t>
      </w:r>
      <w:r>
        <w:rPr>
          <w:rFonts w:hint="default" w:ascii="仿宋_GB2312" w:hAnsi="仿宋_GB2312" w:eastAsia="仿宋_GB2312" w:cs="仿宋_GB2312"/>
          <w:b w:val="0"/>
          <w:bCs w:val="0"/>
          <w:sz w:val="32"/>
          <w:szCs w:val="32"/>
          <w:highlight w:val="none"/>
          <w:lang w:eastAsia="zh-CN"/>
        </w:rPr>
        <w:t>“跨境电商+”新业态新模式</w:t>
      </w:r>
      <w:r>
        <w:rPr>
          <w:rFonts w:hint="eastAsia" w:ascii="仿宋_GB2312" w:hAnsi="仿宋_GB2312" w:eastAsia="仿宋_GB2312" w:cs="仿宋_GB2312"/>
          <w:b w:val="0"/>
          <w:bCs w:val="0"/>
          <w:sz w:val="32"/>
          <w:szCs w:val="32"/>
          <w:highlight w:val="none"/>
          <w:lang w:val="en-US" w:eastAsia="zh-CN"/>
        </w:rPr>
        <w:t>发展潜力。</w:t>
      </w:r>
      <w:r>
        <w:rPr>
          <w:rFonts w:hint="eastAsia" w:ascii="仿宋_GB2312" w:hAnsi="仿宋_GB2312" w:eastAsia="仿宋_GB2312" w:cs="仿宋_GB2312"/>
          <w:b/>
          <w:bCs/>
          <w:sz w:val="32"/>
          <w:szCs w:val="32"/>
          <w:highlight w:val="none"/>
          <w:lang w:val="en-US" w:eastAsia="zh-CN"/>
        </w:rPr>
        <w:t>一是</w:t>
      </w:r>
      <w:r>
        <w:rPr>
          <w:rFonts w:hint="default" w:ascii="仿宋_GB2312" w:hAnsi="仿宋_GB2312" w:eastAsia="仿宋_GB2312" w:cs="仿宋_GB2312"/>
          <w:b w:val="0"/>
          <w:bCs w:val="0"/>
          <w:sz w:val="32"/>
          <w:szCs w:val="32"/>
          <w:lang w:val="en-US" w:eastAsia="zh-CN"/>
        </w:rPr>
        <w:t>印发实施《</w:t>
      </w:r>
      <w:r>
        <w:rPr>
          <w:rFonts w:ascii="仿宋_GB2312" w:hAnsi="仿宋_GB2312" w:eastAsia="仿宋_GB2312" w:cs="仿宋_GB2312"/>
          <w:i w:val="0"/>
          <w:iCs w:val="0"/>
          <w:caps w:val="0"/>
          <w:spacing w:val="0"/>
          <w:sz w:val="32"/>
          <w:szCs w:val="32"/>
          <w:shd w:val="clear"/>
        </w:rPr>
        <w:t>深圳市推动跨境电子商务高质量发展行动方案（2022-2025年）</w:t>
      </w:r>
      <w:r>
        <w:rPr>
          <w:rFonts w:hint="default" w:ascii="仿宋_GB2312" w:hAnsi="仿宋_GB2312" w:eastAsia="仿宋_GB2312" w:cs="仿宋_GB2312"/>
          <w:b w:val="0"/>
          <w:bCs w:val="0"/>
          <w:sz w:val="32"/>
          <w:szCs w:val="32"/>
          <w:lang w:val="en-US" w:eastAsia="zh-CN"/>
        </w:rPr>
        <w:t>》</w:t>
      </w:r>
      <w:r>
        <w:rPr>
          <w:rFonts w:hint="default" w:ascii="仿宋_GB2312" w:hAnsi="仿宋_GB2312" w:eastAsia="仿宋_GB2312" w:cs="仿宋_GB2312"/>
          <w:sz w:val="32"/>
          <w:szCs w:val="32"/>
        </w:rPr>
        <w:t>（深商务〔2022〕200号）</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聚焦</w:t>
      </w:r>
      <w:r>
        <w:rPr>
          <w:rFonts w:hint="eastAsia" w:ascii="仿宋_GB2312" w:hAnsi="仿宋_GB2312" w:eastAsia="仿宋_GB2312" w:cs="仿宋_GB2312"/>
          <w:sz w:val="32"/>
          <w:szCs w:val="32"/>
        </w:rPr>
        <w:t>“跨境电商+产业集群”试点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支持制造业企业以跨境电商方式出口自有品牌产品，推动珠三角产业带数字化升级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积极组织协会、服务商、头部企业等在广东省内举办“跨境电商+产业带”助力“百千万工程”系列活动，</w:t>
      </w:r>
      <w:r>
        <w:rPr>
          <w:rFonts w:hint="eastAsia" w:ascii="仿宋_GB2312" w:hAnsi="仿宋_GB2312" w:eastAsia="仿宋_GB2312" w:cs="仿宋_GB2312"/>
          <w:sz w:val="32"/>
          <w:szCs w:val="32"/>
        </w:rPr>
        <w:t>突破深圳地域限制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深入汕头、佛山、中山等</w:t>
      </w:r>
      <w:r>
        <w:rPr>
          <w:rFonts w:hint="eastAsia" w:ascii="仿宋_GB2312" w:hAnsi="仿宋_GB2312" w:eastAsia="仿宋_GB2312" w:cs="仿宋_GB2312"/>
          <w:sz w:val="32"/>
          <w:szCs w:val="32"/>
        </w:rPr>
        <w:t>制造业集聚区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w:t>
      </w:r>
      <w:r>
        <w:rPr>
          <w:rFonts w:hint="eastAsia" w:ascii="仿宋_GB2312" w:hAnsi="仿宋_GB2312" w:eastAsia="仿宋_GB2312" w:cs="仿宋_GB2312"/>
          <w:sz w:val="32"/>
          <w:szCs w:val="32"/>
          <w:lang w:val="en-US" w:eastAsia="zh-CN"/>
        </w:rPr>
        <w:t>平台+卖家+工厂</w:t>
      </w:r>
      <w:r>
        <w:rPr>
          <w:rFonts w:hint="eastAsia" w:ascii="仿宋_GB2312" w:hAnsi="仿宋_GB2312" w:eastAsia="仿宋_GB2312" w:cs="仿宋_GB2312"/>
          <w:sz w:val="32"/>
          <w:szCs w:val="32"/>
        </w:rPr>
        <w:t>”融合，助力</w:t>
      </w:r>
      <w:r>
        <w:rPr>
          <w:rFonts w:hint="eastAsia" w:ascii="仿宋_GB2312" w:hAnsi="仿宋_GB2312" w:eastAsia="仿宋_GB2312" w:cs="仿宋_GB2312"/>
          <w:sz w:val="32"/>
          <w:szCs w:val="32"/>
          <w:lang w:val="en-US" w:eastAsia="zh-CN"/>
        </w:rPr>
        <w:t>大湾区产供销精准对接，搭建互动交流平台，带动大湾区产业外贸双提升</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hint="default" w:ascii="仿宋_GB2312" w:hAnsi="仿宋_GB2312" w:eastAsia="仿宋_GB2312" w:cs="仿宋_GB2312"/>
          <w:b/>
          <w:bCs/>
          <w:sz w:val="32"/>
          <w:szCs w:val="32"/>
          <w:highlight w:val="yellow"/>
          <w:lang w:eastAsia="zh-CN"/>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密切联动阿里巴巴国际站</w:t>
      </w:r>
      <w:r>
        <w:rPr>
          <w:rFonts w:hint="eastAsia" w:ascii="仿宋_GB2312" w:hAnsi="仿宋_GB2312" w:eastAsia="仿宋_GB2312" w:cs="仿宋_GB2312"/>
          <w:sz w:val="32"/>
          <w:szCs w:val="32"/>
          <w:highlight w:val="none"/>
        </w:rPr>
        <w:t>Shopee、Lazada、Ozon、</w:t>
      </w:r>
      <w:r>
        <w:rPr>
          <w:rFonts w:hint="default" w:ascii="仿宋_GB2312" w:hAnsi="仿宋_GB2312" w:eastAsia="仿宋_GB2312" w:cs="仿宋_GB2312"/>
          <w:sz w:val="32"/>
          <w:szCs w:val="32"/>
          <w:highlight w:val="none"/>
        </w:rPr>
        <w:t>Wildberries</w:t>
      </w:r>
      <w:r>
        <w:rPr>
          <w:rFonts w:hint="eastAsia" w:ascii="仿宋_GB2312" w:hAnsi="仿宋_GB2312" w:eastAsia="仿宋_GB2312" w:cs="仿宋_GB2312"/>
          <w:sz w:val="32"/>
          <w:szCs w:val="32"/>
          <w:highlight w:val="none"/>
          <w:lang w:val="en-US" w:eastAsia="zh-CN"/>
        </w:rPr>
        <w:t>和Jumia</w:t>
      </w:r>
      <w:r>
        <w:rPr>
          <w:rFonts w:hint="eastAsia" w:ascii="仿宋_GB2312" w:hAnsi="仿宋_GB2312" w:eastAsia="仿宋_GB2312" w:cs="仿宋_GB2312"/>
          <w:sz w:val="32"/>
          <w:szCs w:val="32"/>
          <w:highlight w:val="none"/>
        </w:rPr>
        <w:t>等东南亚、俄罗斯、北美</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中东</w:t>
      </w:r>
      <w:r>
        <w:rPr>
          <w:rFonts w:hint="eastAsia" w:ascii="仿宋_GB2312" w:hAnsi="仿宋_GB2312" w:eastAsia="仿宋_GB2312" w:cs="仿宋_GB2312"/>
          <w:sz w:val="32"/>
          <w:szCs w:val="32"/>
          <w:highlight w:val="none"/>
        </w:rPr>
        <w:t>第三方电商平台，</w:t>
      </w:r>
      <w:r>
        <w:rPr>
          <w:rFonts w:hint="eastAsia" w:ascii="仿宋_GB2312" w:hAnsi="仿宋_GB2312" w:eastAsia="仿宋_GB2312" w:cs="仿宋_GB2312"/>
          <w:sz w:val="32"/>
          <w:szCs w:val="32"/>
          <w:highlight w:val="none"/>
          <w:lang w:val="en-US" w:eastAsia="zh-CN"/>
        </w:rPr>
        <w:t>开展拓市场专项行动，</w:t>
      </w:r>
      <w:r>
        <w:rPr>
          <w:rFonts w:hint="eastAsia" w:ascii="仿宋_GB2312" w:hAnsi="仿宋_GB2312" w:eastAsia="仿宋_GB2312" w:cs="仿宋_GB2312"/>
          <w:sz w:val="32"/>
          <w:szCs w:val="32"/>
          <w:highlight w:val="none"/>
        </w:rPr>
        <w:t>鼓励平台推出优惠的卖家入驻政策和细致周到的平台服务，帮助</w:t>
      </w:r>
      <w:r>
        <w:rPr>
          <w:rFonts w:hint="eastAsia" w:ascii="仿宋_GB2312" w:hAnsi="仿宋_GB2312" w:eastAsia="仿宋_GB2312" w:cs="仿宋_GB2312"/>
          <w:sz w:val="32"/>
          <w:szCs w:val="32"/>
          <w:highlight w:val="none"/>
          <w:lang w:val="en-US" w:eastAsia="zh-CN"/>
        </w:rPr>
        <w:t>工厂型、工贸型、贸易型</w:t>
      </w:r>
      <w:r>
        <w:rPr>
          <w:rFonts w:hint="eastAsia" w:ascii="仿宋_GB2312" w:hAnsi="仿宋_GB2312" w:eastAsia="仿宋_GB2312" w:cs="仿宋_GB2312"/>
          <w:sz w:val="32"/>
          <w:szCs w:val="32"/>
          <w:highlight w:val="none"/>
        </w:rPr>
        <w:t>企业</w:t>
      </w:r>
      <w:r>
        <w:rPr>
          <w:rFonts w:hint="default" w:ascii="仿宋_GB2312" w:hAnsi="仿宋_GB2312" w:eastAsia="仿宋_GB2312" w:cs="仿宋_GB2312"/>
          <w:sz w:val="32"/>
          <w:szCs w:val="32"/>
          <w:highlight w:val="none"/>
        </w:rPr>
        <w:t>依托平台</w:t>
      </w:r>
      <w:r>
        <w:rPr>
          <w:rFonts w:hint="eastAsia" w:ascii="仿宋_GB2312" w:hAnsi="仿宋_GB2312" w:eastAsia="仿宋_GB2312" w:cs="仿宋_GB2312"/>
          <w:sz w:val="32"/>
          <w:szCs w:val="32"/>
          <w:highlight w:val="none"/>
        </w:rPr>
        <w:t>便利开展品牌出海、拓展</w:t>
      </w:r>
      <w:r>
        <w:rPr>
          <w:rFonts w:hint="eastAsia" w:ascii="仿宋_GB2312" w:hAnsi="仿宋_GB2312" w:eastAsia="仿宋_GB2312" w:cs="仿宋_GB2312"/>
          <w:sz w:val="32"/>
          <w:szCs w:val="32"/>
          <w:highlight w:val="none"/>
          <w:lang w:val="en-US" w:eastAsia="zh-CN"/>
        </w:rPr>
        <w:t>新兴</w:t>
      </w:r>
      <w:r>
        <w:rPr>
          <w:rFonts w:hint="eastAsia" w:ascii="仿宋_GB2312" w:hAnsi="仿宋_GB2312" w:eastAsia="仿宋_GB2312" w:cs="仿宋_GB2312"/>
          <w:sz w:val="32"/>
          <w:szCs w:val="32"/>
          <w:highlight w:val="none"/>
        </w:rPr>
        <w:t>市场</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b/>
          <w:bCs/>
          <w:sz w:val="32"/>
          <w:szCs w:val="32"/>
          <w:highlight w:val="none"/>
          <w:lang w:val="en-US" w:eastAsia="zh-CN"/>
        </w:rPr>
        <w:t>四</w:t>
      </w:r>
      <w:r>
        <w:rPr>
          <w:rFonts w:hint="default" w:ascii="仿宋_GB2312" w:hAnsi="仿宋_GB2312" w:eastAsia="仿宋_GB2312" w:cs="仿宋_GB2312"/>
          <w:b/>
          <w:bCs/>
          <w:sz w:val="32"/>
          <w:szCs w:val="32"/>
          <w:highlight w:val="none"/>
        </w:rPr>
        <w:t>是</w:t>
      </w:r>
      <w:r>
        <w:rPr>
          <w:rFonts w:hint="default" w:ascii="仿宋_GB2312" w:hAnsi="仿宋_GB2312" w:eastAsia="仿宋_GB2312" w:cs="仿宋_GB2312"/>
          <w:sz w:val="32"/>
          <w:szCs w:val="32"/>
          <w:highlight w:val="none"/>
        </w:rPr>
        <w:t>支持商协会、企业等举办跨境电商展会、论坛、峰会等活动，强化宣传推广和产业对接合作。截至目前，已打造全球跨境电商节、跨境电商交易会、深圳国际跨境电商贸易博览会、独立站卖家峰会</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全球领航者大会</w:t>
      </w:r>
      <w:r>
        <w:rPr>
          <w:rFonts w:hint="default" w:ascii="仿宋_GB2312" w:hAnsi="仿宋_GB2312" w:eastAsia="仿宋_GB2312" w:cs="仿宋_GB2312"/>
          <w:sz w:val="32"/>
          <w:szCs w:val="32"/>
          <w:highlight w:val="none"/>
        </w:rPr>
        <w:t>等知名品牌活动，形成了多元化的品牌推广与国际交流合作矩阵</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为市内、省内以及全国</w:t>
      </w:r>
      <w:r>
        <w:rPr>
          <w:rFonts w:hint="eastAsia" w:ascii="仿宋_GB2312" w:hAnsi="仿宋_GB2312" w:eastAsia="仿宋_GB2312" w:cs="仿宋_GB2312"/>
          <w:sz w:val="32"/>
          <w:szCs w:val="32"/>
          <w:highlight w:val="none"/>
        </w:rPr>
        <w:t>制造企业提供</w:t>
      </w:r>
      <w:r>
        <w:rPr>
          <w:rFonts w:hint="eastAsia" w:ascii="仿宋_GB2312" w:hAnsi="仿宋_GB2312" w:eastAsia="仿宋_GB2312" w:cs="仿宋_GB2312"/>
          <w:sz w:val="32"/>
          <w:szCs w:val="32"/>
          <w:highlight w:val="none"/>
          <w:lang w:val="en-US" w:eastAsia="zh-CN"/>
        </w:rPr>
        <w:t>展示、推介、交流于一体的对话平台，助力企业对接高效</w:t>
      </w:r>
      <w:r>
        <w:rPr>
          <w:rFonts w:hint="eastAsia" w:ascii="仿宋_GB2312" w:hAnsi="仿宋_GB2312" w:eastAsia="仿宋_GB2312" w:cs="仿宋_GB2312"/>
          <w:sz w:val="32"/>
          <w:szCs w:val="32"/>
          <w:highlight w:val="none"/>
        </w:rPr>
        <w:t>生产解决方案</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b/>
          <w:bCs/>
          <w:sz w:val="32"/>
          <w:szCs w:val="32"/>
          <w:highlight w:val="none"/>
          <w:lang w:val="en-US" w:eastAsia="zh-CN"/>
        </w:rPr>
        <w:t>五是</w:t>
      </w:r>
      <w:r>
        <w:rPr>
          <w:rFonts w:hint="eastAsia" w:ascii="仿宋_GB2312" w:hAnsi="仿宋_GB2312" w:eastAsia="仿宋_GB2312" w:cs="仿宋_GB2312"/>
          <w:b w:val="0"/>
          <w:bCs w:val="0"/>
          <w:i w:val="0"/>
          <w:iCs w:val="0"/>
          <w:caps w:val="0"/>
          <w:color w:val="000000"/>
          <w:spacing w:val="0"/>
          <w:sz w:val="32"/>
          <w:szCs w:val="32"/>
          <w:highlight w:val="none"/>
          <w:shd w:val="clear" w:color="auto" w:fill="FFFFFF"/>
          <w:lang w:val="en-US" w:eastAsia="zh-CN"/>
        </w:rPr>
        <w:t>推动</w:t>
      </w:r>
      <w:r>
        <w:rPr>
          <w:rFonts w:hint="eastAsia" w:ascii="仿宋_GB2312" w:hAnsi="仿宋_GB2312" w:eastAsia="仿宋_GB2312" w:cs="仿宋_GB2312"/>
          <w:i w:val="0"/>
          <w:iCs w:val="0"/>
          <w:caps w:val="0"/>
          <w:color w:val="000000"/>
          <w:spacing w:val="0"/>
          <w:kern w:val="2"/>
          <w:sz w:val="32"/>
          <w:szCs w:val="32"/>
          <w:highlight w:val="none"/>
          <w:shd w:val="clear" w:color="auto" w:fill="FFFFFF"/>
          <w:lang w:val="en-US" w:eastAsia="zh-CN" w:bidi="ar"/>
        </w:rPr>
        <w:t>星河WORLD国际电子商务产业基地</w:t>
      </w:r>
      <w:r>
        <w:rPr>
          <w:rFonts w:hint="default" w:ascii="仿宋_GB2312" w:hAnsi="仿宋_GB2312" w:eastAsia="仿宋_GB2312" w:cs="仿宋_GB2312"/>
          <w:i w:val="0"/>
          <w:iCs w:val="0"/>
          <w:caps w:val="0"/>
          <w:color w:val="000000"/>
          <w:spacing w:val="0"/>
          <w:kern w:val="2"/>
          <w:sz w:val="32"/>
          <w:szCs w:val="32"/>
          <w:highlight w:val="none"/>
          <w:shd w:val="clear" w:color="auto" w:fill="FFFFFF"/>
          <w:lang w:eastAsia="zh-CN" w:bidi="ar"/>
        </w:rPr>
        <w:t>、广东省跨境电商产</w:t>
      </w:r>
      <w:r>
        <w:rPr>
          <w:rFonts w:hint="eastAsia" w:ascii="仿宋_GB2312" w:hAnsi="仿宋_GB2312" w:eastAsia="仿宋_GB2312" w:cs="仿宋_GB2312"/>
          <w:i w:val="0"/>
          <w:iCs w:val="0"/>
          <w:caps w:val="0"/>
          <w:color w:val="000000"/>
          <w:spacing w:val="0"/>
          <w:kern w:val="2"/>
          <w:sz w:val="32"/>
          <w:szCs w:val="32"/>
          <w:highlight w:val="none"/>
          <w:shd w:val="clear" w:color="auto" w:fill="FFFFFF"/>
          <w:lang w:val="en-US" w:eastAsia="zh-CN" w:bidi="ar"/>
        </w:rPr>
        <w:t>业园区康利城</w:t>
      </w:r>
      <w:r>
        <w:rPr>
          <w:rFonts w:hint="default" w:ascii="仿宋_GB2312" w:hAnsi="仿宋_GB2312" w:eastAsia="仿宋_GB2312" w:cs="仿宋_GB2312"/>
          <w:i w:val="0"/>
          <w:iCs w:val="0"/>
          <w:caps w:val="0"/>
          <w:color w:val="000000"/>
          <w:spacing w:val="0"/>
          <w:kern w:val="2"/>
          <w:sz w:val="32"/>
          <w:szCs w:val="32"/>
          <w:highlight w:val="none"/>
          <w:shd w:val="clear" w:color="auto" w:fill="FFFFFF"/>
          <w:lang w:eastAsia="zh-CN" w:bidi="ar"/>
        </w:rPr>
        <w:t>建成</w:t>
      </w:r>
      <w:r>
        <w:rPr>
          <w:rFonts w:hint="default" w:ascii="仿宋_GB2312" w:hAnsi="仿宋_GB2312" w:eastAsia="仿宋_GB2312" w:cs="仿宋_GB2312"/>
          <w:color w:val="000000"/>
          <w:sz w:val="32"/>
          <w:szCs w:val="32"/>
          <w:highlight w:val="none"/>
          <w:shd w:val="clear" w:color="auto" w:fill="FFFFFF"/>
          <w:lang w:bidi="ar"/>
        </w:rPr>
        <w:t>1688跨境选品中心以及KL跨境优品中心。选品中心覆盖3C数码、小家电、家清美妆等主流类目，通过数据化选品策略与本地化服务能力，整合</w:t>
      </w:r>
      <w:r>
        <w:rPr>
          <w:rFonts w:hint="eastAsia" w:ascii="仿宋_GB2312" w:hAnsi="仿宋_GB2312" w:eastAsia="仿宋_GB2312" w:cs="仿宋_GB2312"/>
          <w:color w:val="000000"/>
          <w:sz w:val="32"/>
          <w:szCs w:val="32"/>
          <w:highlight w:val="none"/>
          <w:shd w:val="clear" w:color="auto" w:fill="FFFFFF"/>
          <w:lang w:val="en-US" w:eastAsia="zh-CN" w:bidi="ar"/>
        </w:rPr>
        <w:t>大湾区以及全国</w:t>
      </w:r>
      <w:r>
        <w:rPr>
          <w:rFonts w:hint="default" w:ascii="仿宋_GB2312" w:hAnsi="仿宋_GB2312" w:eastAsia="仿宋_GB2312" w:cs="仿宋_GB2312"/>
          <w:color w:val="000000"/>
          <w:sz w:val="32"/>
          <w:szCs w:val="32"/>
          <w:highlight w:val="none"/>
          <w:shd w:val="clear" w:color="auto" w:fill="FFFFFF"/>
          <w:lang w:bidi="ar"/>
        </w:rPr>
        <w:t>货源、物流、支付、知识产权等全链条资源，配备新品测评、跨境陪跑、免费</w:t>
      </w:r>
      <w:r>
        <w:rPr>
          <w:rFonts w:hint="default" w:ascii="仿宋_GB2312" w:hAnsi="仿宋_GB2312" w:eastAsia="仿宋_GB2312" w:cs="仿宋_GB2312"/>
          <w:sz w:val="32"/>
          <w:szCs w:val="32"/>
          <w:highlight w:val="none"/>
          <w:shd w:val="clear"/>
          <w:lang w:bidi="ar"/>
        </w:rPr>
        <w:t>培训等“一站式”出海服务，</w:t>
      </w:r>
      <w:r>
        <w:rPr>
          <w:rFonts w:hint="default" w:ascii="仿宋_GB2312" w:hAnsi="仿宋_GB2312" w:eastAsia="仿宋_GB2312" w:cs="仿宋_GB2312"/>
          <w:sz w:val="32"/>
          <w:szCs w:val="32"/>
          <w:highlight w:val="none"/>
          <w:shd w:val="clear"/>
          <w:lang w:val="en-US" w:eastAsia="zh-CN" w:bidi="ar"/>
        </w:rPr>
        <w:t>降低制造业</w:t>
      </w:r>
      <w:r>
        <w:rPr>
          <w:rFonts w:hint="default" w:ascii="仿宋_GB2312" w:hAnsi="仿宋_GB2312" w:eastAsia="仿宋_GB2312" w:cs="仿宋_GB2312"/>
          <w:sz w:val="32"/>
          <w:szCs w:val="32"/>
          <w:highlight w:val="none"/>
          <w:shd w:val="clear"/>
          <w:lang w:bidi="ar"/>
        </w:rPr>
        <w:t>企业</w:t>
      </w:r>
      <w:r>
        <w:rPr>
          <w:rFonts w:hint="default" w:ascii="仿宋_GB2312" w:hAnsi="仿宋_GB2312" w:eastAsia="仿宋_GB2312" w:cs="仿宋_GB2312"/>
          <w:sz w:val="32"/>
          <w:szCs w:val="32"/>
          <w:highlight w:val="none"/>
          <w:shd w:val="clear"/>
          <w:lang w:val="en-US" w:eastAsia="zh-CN" w:bidi="ar"/>
        </w:rPr>
        <w:t>入行门槛，</w:t>
      </w:r>
      <w:r>
        <w:rPr>
          <w:rFonts w:hint="default" w:ascii="仿宋_GB2312" w:hAnsi="仿宋_GB2312" w:eastAsia="仿宋_GB2312" w:cs="仿宋_GB2312"/>
          <w:sz w:val="32"/>
          <w:szCs w:val="32"/>
          <w:highlight w:val="none"/>
          <w:lang w:val="en-US" w:eastAsia="zh-CN"/>
        </w:rPr>
        <w:t>以跨境电商平台与制造业融合，提高供应链效率。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最后，再次感谢</w:t>
      </w:r>
      <w:r>
        <w:rPr>
          <w:rFonts w:hint="eastAsia" w:ascii="仿宋_GB2312" w:hAnsi="仿宋_GB2312" w:eastAsia="仿宋_GB2312" w:cs="仿宋_GB2312"/>
          <w:sz w:val="32"/>
          <w:szCs w:val="32"/>
          <w:lang w:eastAsia="zh-CN"/>
        </w:rPr>
        <w:t>您</w:t>
      </w:r>
      <w:r>
        <w:rPr>
          <w:rFonts w:hint="default" w:ascii="仿宋_GB2312" w:hAnsi="仿宋_GB2312" w:eastAsia="仿宋_GB2312" w:cs="仿宋_GB2312"/>
          <w:sz w:val="32"/>
          <w:szCs w:val="32"/>
        </w:rPr>
        <w:t>对深圳</w:t>
      </w:r>
      <w:r>
        <w:rPr>
          <w:rFonts w:hint="eastAsia" w:ascii="仿宋_GB2312" w:hAnsi="仿宋_GB2312" w:eastAsia="仿宋_GB2312" w:cs="仿宋_GB2312"/>
          <w:sz w:val="32"/>
          <w:szCs w:val="32"/>
          <w:lang w:val="en-US" w:eastAsia="zh-CN"/>
        </w:rPr>
        <w:t>跨境电商</w:t>
      </w:r>
      <w:r>
        <w:rPr>
          <w:rFonts w:hint="default" w:ascii="仿宋_GB2312" w:hAnsi="仿宋_GB2312" w:eastAsia="仿宋_GB2312" w:cs="仿宋_GB2312"/>
          <w:sz w:val="32"/>
          <w:szCs w:val="32"/>
        </w:rPr>
        <w:t>产业发展以及我局工作的关注和支持!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专此答复。</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firstLine="5920" w:firstLineChars="18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深圳市商务局</w:t>
      </w:r>
    </w:p>
    <w:p>
      <w:pPr>
        <w:ind w:firstLine="5760" w:firstLineChars="1800"/>
        <w:rPr>
          <w:rFonts w:hint="eastAsia" w:ascii="黑体" w:hAnsi="黑体" w:eastAsia="黑体" w:cs="黑体"/>
          <w:sz w:val="32"/>
          <w:szCs w:val="32"/>
          <w:lang w:eastAsia="zh-CN"/>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19</w:t>
      </w:r>
      <w:r>
        <w:rPr>
          <w:rFonts w:hint="eastAsia" w:ascii="仿宋_GB2312" w:hAnsi="仿宋_GB2312" w:eastAsia="仿宋_GB2312" w:cs="仿宋_GB2312"/>
          <w:sz w:val="32"/>
          <w:szCs w:val="32"/>
        </w:rPr>
        <w:t>日</w:t>
      </w:r>
    </w:p>
    <w:sectPr>
      <w:footerReference r:id="rId3" w:type="default"/>
      <w:pgSz w:w="11906" w:h="16838"/>
      <w:pgMar w:top="1814" w:right="1474" w:bottom="1814" w:left="1474"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楷体_GB2312">
    <w:panose1 w:val="02010609030101010101"/>
    <w:charset w:val="86"/>
    <w:family w:val="auto"/>
    <w:pitch w:val="default"/>
    <w:sig w:usb0="00000001" w:usb1="080E0000" w:usb2="00000000" w:usb3="00000000" w:csb0="00040000" w:csb1="00000000"/>
  </w:font>
  <w:font w:name="SimSun">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7"/>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A708C"/>
    <w:rsid w:val="00396D9C"/>
    <w:rsid w:val="0DE70C87"/>
    <w:rsid w:val="0DFF44B4"/>
    <w:rsid w:val="0E6FBB2C"/>
    <w:rsid w:val="108937AC"/>
    <w:rsid w:val="108C2196"/>
    <w:rsid w:val="110D1327"/>
    <w:rsid w:val="133E579E"/>
    <w:rsid w:val="13E340F1"/>
    <w:rsid w:val="13FE0BC6"/>
    <w:rsid w:val="152A5CBD"/>
    <w:rsid w:val="15BE8662"/>
    <w:rsid w:val="172C1CD9"/>
    <w:rsid w:val="18FFD53C"/>
    <w:rsid w:val="1ABDEC4F"/>
    <w:rsid w:val="1ACC3532"/>
    <w:rsid w:val="1D297DC4"/>
    <w:rsid w:val="1DFC72A1"/>
    <w:rsid w:val="1E76533C"/>
    <w:rsid w:val="1F6F8989"/>
    <w:rsid w:val="25AC02A2"/>
    <w:rsid w:val="2AE412F9"/>
    <w:rsid w:val="2B477A50"/>
    <w:rsid w:val="2B521B19"/>
    <w:rsid w:val="2C157130"/>
    <w:rsid w:val="2C226062"/>
    <w:rsid w:val="2CCB6C14"/>
    <w:rsid w:val="33F6942D"/>
    <w:rsid w:val="343D1D9B"/>
    <w:rsid w:val="356D01D0"/>
    <w:rsid w:val="377E4F5F"/>
    <w:rsid w:val="37EA6C41"/>
    <w:rsid w:val="38061B20"/>
    <w:rsid w:val="3CF6D6CE"/>
    <w:rsid w:val="3D863163"/>
    <w:rsid w:val="3FFDEFCF"/>
    <w:rsid w:val="416A7864"/>
    <w:rsid w:val="43917598"/>
    <w:rsid w:val="45857612"/>
    <w:rsid w:val="4C121D12"/>
    <w:rsid w:val="4FBE3F14"/>
    <w:rsid w:val="50EF1D81"/>
    <w:rsid w:val="51C07CB3"/>
    <w:rsid w:val="56B63D97"/>
    <w:rsid w:val="584720E0"/>
    <w:rsid w:val="597376BD"/>
    <w:rsid w:val="5B5B9ABF"/>
    <w:rsid w:val="5BB5603B"/>
    <w:rsid w:val="5BF5A3D3"/>
    <w:rsid w:val="5D6E3ACB"/>
    <w:rsid w:val="5DDA708C"/>
    <w:rsid w:val="5E9FBA9A"/>
    <w:rsid w:val="5EFBFFE4"/>
    <w:rsid w:val="5F2FB827"/>
    <w:rsid w:val="5FBB0A76"/>
    <w:rsid w:val="5FF87239"/>
    <w:rsid w:val="5FFBD012"/>
    <w:rsid w:val="5FFE13B8"/>
    <w:rsid w:val="5FFF4469"/>
    <w:rsid w:val="676E0A56"/>
    <w:rsid w:val="67B0587D"/>
    <w:rsid w:val="67DBD36F"/>
    <w:rsid w:val="69F33A28"/>
    <w:rsid w:val="6BAFF8B0"/>
    <w:rsid w:val="6BE97BA8"/>
    <w:rsid w:val="6D9F0B20"/>
    <w:rsid w:val="6DA22186"/>
    <w:rsid w:val="6F081BCE"/>
    <w:rsid w:val="6F5F00BD"/>
    <w:rsid w:val="6F77D8E4"/>
    <w:rsid w:val="6FBF1D75"/>
    <w:rsid w:val="6FD70B42"/>
    <w:rsid w:val="6FDF3BC2"/>
    <w:rsid w:val="6FF7053F"/>
    <w:rsid w:val="724B44B1"/>
    <w:rsid w:val="73BC389F"/>
    <w:rsid w:val="74E55619"/>
    <w:rsid w:val="74F84576"/>
    <w:rsid w:val="759F2A8A"/>
    <w:rsid w:val="76274932"/>
    <w:rsid w:val="7629E3DD"/>
    <w:rsid w:val="76D47F46"/>
    <w:rsid w:val="77DF3A7D"/>
    <w:rsid w:val="77ED3471"/>
    <w:rsid w:val="77F7D740"/>
    <w:rsid w:val="786BA8DC"/>
    <w:rsid w:val="78CF4FEB"/>
    <w:rsid w:val="79EEE9A1"/>
    <w:rsid w:val="7ADB6915"/>
    <w:rsid w:val="7B7EB4EF"/>
    <w:rsid w:val="7BC6204D"/>
    <w:rsid w:val="7BEAB913"/>
    <w:rsid w:val="7BF4B4DB"/>
    <w:rsid w:val="7BF629D0"/>
    <w:rsid w:val="7DBF5934"/>
    <w:rsid w:val="7E559887"/>
    <w:rsid w:val="7E79881A"/>
    <w:rsid w:val="7EEFBC60"/>
    <w:rsid w:val="7F5F16E6"/>
    <w:rsid w:val="7F7E6F78"/>
    <w:rsid w:val="7F9F3C07"/>
    <w:rsid w:val="7FB9761C"/>
    <w:rsid w:val="7FBF3CC2"/>
    <w:rsid w:val="7FDE6BC5"/>
    <w:rsid w:val="7FE7D14E"/>
    <w:rsid w:val="7FEA837A"/>
    <w:rsid w:val="7FEFD583"/>
    <w:rsid w:val="7FF7C46D"/>
    <w:rsid w:val="7FFF563B"/>
    <w:rsid w:val="8B936500"/>
    <w:rsid w:val="8EFFDD07"/>
    <w:rsid w:val="8FDFB217"/>
    <w:rsid w:val="8FFBB56D"/>
    <w:rsid w:val="9BBBFD73"/>
    <w:rsid w:val="9FEC5522"/>
    <w:rsid w:val="A76E505B"/>
    <w:rsid w:val="ADB34E49"/>
    <w:rsid w:val="AF7FFF76"/>
    <w:rsid w:val="BB5B6057"/>
    <w:rsid w:val="BD772DEC"/>
    <w:rsid w:val="BEBF20C2"/>
    <w:rsid w:val="C93750E8"/>
    <w:rsid w:val="CF9F3306"/>
    <w:rsid w:val="CFF2D478"/>
    <w:rsid w:val="CFFF6795"/>
    <w:rsid w:val="D17F984E"/>
    <w:rsid w:val="DBF54ED9"/>
    <w:rsid w:val="DCBABCBC"/>
    <w:rsid w:val="DDF9408B"/>
    <w:rsid w:val="DF7F0951"/>
    <w:rsid w:val="DF8EA9D3"/>
    <w:rsid w:val="DF9F26F1"/>
    <w:rsid w:val="E77C7CD1"/>
    <w:rsid w:val="E9F6A5B1"/>
    <w:rsid w:val="EAFC7BB9"/>
    <w:rsid w:val="EAFCB4C4"/>
    <w:rsid w:val="EAFFB71B"/>
    <w:rsid w:val="EBE7BC92"/>
    <w:rsid w:val="EBFD4BBB"/>
    <w:rsid w:val="ED46619B"/>
    <w:rsid w:val="EECC8172"/>
    <w:rsid w:val="EEFD783D"/>
    <w:rsid w:val="EF254A70"/>
    <w:rsid w:val="EF6FB16E"/>
    <w:rsid w:val="EFBFC486"/>
    <w:rsid w:val="EFE6DEFF"/>
    <w:rsid w:val="EFFBEA4D"/>
    <w:rsid w:val="F197E079"/>
    <w:rsid w:val="F36BF18C"/>
    <w:rsid w:val="F5FBD102"/>
    <w:rsid w:val="F66617D5"/>
    <w:rsid w:val="F771D2F3"/>
    <w:rsid w:val="F7753DE8"/>
    <w:rsid w:val="F7F3300A"/>
    <w:rsid w:val="F9C9DFF0"/>
    <w:rsid w:val="F9E95ACD"/>
    <w:rsid w:val="F9FA81E4"/>
    <w:rsid w:val="FADB82C3"/>
    <w:rsid w:val="FB81E8F9"/>
    <w:rsid w:val="FCB754CC"/>
    <w:rsid w:val="FD770B34"/>
    <w:rsid w:val="FDB50B03"/>
    <w:rsid w:val="FDB54E7D"/>
    <w:rsid w:val="FDCFF790"/>
    <w:rsid w:val="FDDFA116"/>
    <w:rsid w:val="FE7F8497"/>
    <w:rsid w:val="FEEFF6C7"/>
    <w:rsid w:val="FF371A17"/>
    <w:rsid w:val="FF7D9110"/>
    <w:rsid w:val="FF7F99F5"/>
    <w:rsid w:val="FFAEDDEC"/>
    <w:rsid w:val="FFBFC155"/>
    <w:rsid w:val="FFD7FDAA"/>
    <w:rsid w:val="FFE71EC6"/>
    <w:rsid w:val="FFFBF80D"/>
    <w:rsid w:val="FFFF24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widowControl/>
      <w:spacing w:line="560" w:lineRule="exact"/>
      <w:ind w:firstLine="0" w:firstLineChars="0"/>
      <w:jc w:val="center"/>
      <w:outlineLvl w:val="0"/>
    </w:pPr>
    <w:rPr>
      <w:rFonts w:ascii="方正小标宋简体" w:hAnsi="仿宋" w:eastAsia="方正小标宋简体"/>
      <w:kern w:val="44"/>
      <w:sz w:val="44"/>
      <w:szCs w:val="44"/>
    </w:rPr>
  </w:style>
  <w:style w:type="paragraph" w:styleId="3">
    <w:name w:val="heading 5"/>
    <w:basedOn w:val="1"/>
    <w:next w:val="1"/>
    <w:semiHidden/>
    <w:unhideWhenUsed/>
    <w:qFormat/>
    <w:uiPriority w:val="0"/>
    <w:pPr>
      <w:keepNext/>
      <w:keepLines/>
      <w:widowControl w:val="0"/>
      <w:spacing w:line="560" w:lineRule="exact"/>
      <w:jc w:val="both"/>
      <w:outlineLvl w:val="4"/>
    </w:pPr>
    <w:rPr>
      <w:rFonts w:ascii="Calibri" w:hAnsi="Calibri" w:eastAsia="仿宋_GB2312"/>
      <w:b/>
      <w:kern w:val="2"/>
      <w:sz w:val="32"/>
      <w:szCs w:val="24"/>
      <w:lang w:val="en-US" w:eastAsia="zh-CN" w:bidi="ar-SA"/>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line="540" w:lineRule="exact"/>
      <w:jc w:val="center"/>
    </w:pPr>
    <w:rPr>
      <w:rFonts w:ascii="宋体"/>
      <w:b/>
      <w:bCs/>
      <w:sz w:val="44"/>
      <w:szCs w:val="44"/>
    </w:rPr>
  </w:style>
  <w:style w:type="paragraph" w:styleId="5">
    <w:name w:val="Title"/>
    <w:basedOn w:val="1"/>
    <w:next w:val="1"/>
    <w:qFormat/>
    <w:uiPriority w:val="0"/>
    <w:pPr>
      <w:spacing w:before="240" w:after="60"/>
      <w:jc w:val="center"/>
      <w:outlineLvl w:val="0"/>
    </w:pPr>
    <w:rPr>
      <w:rFonts w:ascii="Cambria" w:hAnsi="Cambria"/>
      <w:b/>
      <w:bCs/>
      <w:szCs w:val="21"/>
    </w:rPr>
  </w:style>
  <w:style w:type="paragraph" w:styleId="6">
    <w:name w:val="Plain Text"/>
    <w:qFormat/>
    <w:uiPriority w:val="0"/>
    <w:pPr>
      <w:widowControl w:val="0"/>
      <w:jc w:val="both"/>
    </w:pPr>
    <w:rPr>
      <w:rFonts w:ascii="宋体" w:hAnsi="Courier New" w:eastAsia="宋体" w:cs="Times New Roman"/>
      <w:kern w:val="2"/>
      <w:sz w:val="21"/>
      <w:szCs w:val="22"/>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Subtitle"/>
    <w:basedOn w:val="1"/>
    <w:next w:val="1"/>
    <w:qFormat/>
    <w:uiPriority w:val="0"/>
    <w:pPr>
      <w:ind w:firstLine="0" w:firstLineChars="0"/>
    </w:pPr>
    <w:rPr>
      <w:rFonts w:ascii="仿宋_GB2312" w:hAnsi="仿宋_GB2312" w:cs="仿宋_GB2312"/>
      <w:szCs w:val="32"/>
    </w:rPr>
  </w:style>
  <w:style w:type="paragraph" w:styleId="10">
    <w:name w:val="footnote text"/>
    <w:basedOn w:val="1"/>
    <w:qFormat/>
    <w:uiPriority w:val="0"/>
    <w:pPr>
      <w:snapToGrid w:val="0"/>
      <w:jc w:val="left"/>
    </w:pPr>
    <w:rPr>
      <w:sz w:val="18"/>
      <w:szCs w:val="18"/>
    </w:rPr>
  </w:style>
  <w:style w:type="paragraph" w:styleId="11">
    <w:name w:val="Normal (Web)"/>
    <w:basedOn w:val="1"/>
    <w:qFormat/>
    <w:uiPriority w:val="0"/>
    <w:pPr>
      <w:widowControl/>
      <w:spacing w:before="60" w:line="432" w:lineRule="atLeast"/>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styleId="18">
    <w:name w:val="footnote reference"/>
    <w:basedOn w:val="14"/>
    <w:qFormat/>
    <w:uiPriority w:val="0"/>
    <w:rPr>
      <w:vertAlign w:val="superscript"/>
    </w:rPr>
  </w:style>
  <w:style w:type="paragraph" w:customStyle="1" w:styleId="19">
    <w:name w:val="文件正文"/>
    <w:basedOn w:val="9"/>
    <w:qFormat/>
    <w:uiPriority w:val="2"/>
    <w:pPr>
      <w:spacing w:line="560" w:lineRule="exact"/>
      <w:ind w:firstLine="622" w:firstLineChars="200"/>
    </w:pPr>
  </w:style>
  <w:style w:type="paragraph" w:customStyle="1" w:styleId="20">
    <w:name w:val="文件标题"/>
    <w:basedOn w:val="1"/>
    <w:qFormat/>
    <w:uiPriority w:val="0"/>
    <w:pPr>
      <w:ind w:firstLine="0" w:firstLineChars="0"/>
      <w:jc w:val="center"/>
    </w:pPr>
    <w:rPr>
      <w:rFonts w:eastAsia="宋体"/>
      <w:b/>
      <w:sz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2022-08-09T09:03:00Z</dcterms:created>
  <dc:creator>禾禾</dc:creator>
  <cp:lastModifiedBy>文件收发（黄俊源）</cp:lastModifiedBy>
  <cp:lastPrinted>2022-08-12T03:42:00Z</cp:lastPrinted>
  <dcterms:modified xsi:type="dcterms:W3CDTF">2025-11-04T16:04:05Z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eyJoZGlkIjoiNGQ3ZGNjYmFlNjMyMjU1ZjNjNmQzMzdkN2I5NGVmMjkiLCJ1c2VySWQiOiI3MzgwNzAzOTcifQ==</vt:lpwstr>
  </property>
  <property fmtid="{D5CDD505-2E9C-101B-9397-08002B2CF9AE}" pid="4" name="ICV">
    <vt:lpwstr>B02A480CD1924AE0BE7756F4CA244B8C_12</vt:lpwstr>
  </property>
</Properties>
</file>