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关于加强深圳商办市场招商引资公平性竞争的提案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乔宗利</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20250574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分办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市住房和建设局,市商务局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近年来，受全球局势紧张、经济增速断崖式放缓影响，各大一线城市商办市场（包括写字楼、产业园区、厂房）供需失衡日趋严峻。仅以甲级写字楼市场为例，截至2024年12月，北上广深四大一线城市，全年新增甲级写字楼供应排名深圳位居第二，为28.06万㎡，仅次于上海；空置率以26.57%排名第一；未来3年新增供应量以483.20万㎡排名第一（数据来源：戴德梁行）。</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在稳中向好的经济主旋律下，政府、物业持有方卯足力气，为吸引企业迁入不遗余力。然而2024年深圳全市企业新增需求明显不足，净吸纳量低迷区域众多——如福田CBD、蔡屋围CBD、科技园、后海CBD等，均呈现出客户净流出状态；宝安中心区净吸纳量仅2.82万㎡（数据来源：戴德梁行）。而存量企业租户同区域或跨区域迁移，实质并未能为全市整体税收贡献新的增长点。最终除寻租企业微薄获益外，政府各级单位、物业持有方、企业三败俱伤。归其成因，深圳商办市场严峻形势主要体现在以下方面：</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一、各区招商引资政策百花齐放，寻租企业待价而沽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各区各具特色招商引资政策，从落户扶持、空间支持（包括总部用地、租赁办公用房、购置资产）、引荐奖励、专项投资基金、外资项目奖励、集群规模扶持、增量补贴、特色招商活动支持、人才安置补贴等方面，展示着深圳吸引优质企业、吸引优秀人才的诚意。然而，在实际企业招引过程中，不乏个别大型企业为求利益最大化待价而沽，让同级招引部门政策比拼的现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二、政府产权物业价格远低市场水平，同区域竞品议价难</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以政府为主导的非市场化楼宇（主要形式：政府出资兴建、政府联合运营）比例逐年攀升，从2015-2019年的占比2%到2024年-2028年的占比9%，对区域市场竞争造成直接冲击（数据来源：仲量联行）。</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以福田市场为例，深业上城（国企开发）、华强科创广场（部分楼层签署政府监管协议）等物业，可直接享有30%-70%租金减免。而同期市场化楼宇在政府补贴上则存在一定门槛，如中洲湾写字楼获得“湾区科创总部大厦”挂牌方可享受补贴，且租金补贴以“先付后补”形式享受。</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以宝安区市场为例，以海纳百川大厦、湾区产投大厦、华润雪花啤酒项目、汇智研发中心(专精特新总部基地)为代表的政府产权物业，入市即以远低于市场的价格，定向吸引客户。同时，近年来，以随着中粮大悦城、宏发玺悦为代表的政府合作物业逐步入市，持续刺激着同区域面临生存压力的物业持有方“抑价换量”，加剧写字楼市场供需关系失衡，行业内卷甚嚣尘上。</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三、大量新增总部企业入市，市场颓势难挡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2025年全年预计超170万㎡甲级写字楼入市（数据来源：戴德梁行），其中超6成新增供应集中在前海（含宝中）、深圳湾超总片区等新兴商务片区。其中伴随腾讯总部（宝中）、小米总部（后海）等落成，企业需求回流释放的大面积存量空置，让市场“抢客战”越演越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最直观的例子，即为2016年前后福田平安金融中心的落成，导致与之关联的上下游企业需求回流，导致福田中心区以星河中心为代表的多个周边物业出现短期大量空置。叠加同时期P2P行业暴雷引发的需求回缩，及随后的疫情经济遇冷，福田中心区写字楼整体租金水平一落千丈，从“400+元/㎡*月”跌至2字头，至今仍处于低迷期。此类情况并非孤例，类似的故事同样发生在了腾讯总部大厦落成后的南山科技园。区域市场的兴衰，非一楼之力，但颓势一旦衍生，即成“燎原”之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四、企业逐利而迁，资源浪费严重，隐性成本增加企业负担</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宏观经济复苏呈现的不均衡态势，导致大部分企业对扩张经营保持审慎态度。节约成本为导向的择址策略占据主流，大量企业选择缩减租赁面积或迁至价格低廉的低端楼宇。租金成本的削减，附加行政变更成本、装修过渡期人力物力成本、人员稳定性成本、原场地财物损失等，造成企业经营负担。</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五、物业持有方低价竞争，导致运营成本缩减、服务降档</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伴随各大物业持有方全方位“内卷”——无论是从价格、配套、特色服务、佣金政策等，彼时震惊市场的“2020年南山立桥金融中心12个月免租”事件，至今已数见不鲜。特色招商稳商策略日趋普遍化、多样化，常见的如“降低租金面价”、“延长免租期”、“带装修交付/装修补贴”、“提供家具出租”、“定制化装修服务”、“提供免租期内免管理费”、“减免停车费和管理费”、“为重点客户提供加时空调费用减免”等。企业可选择性变大，成交不确定性因素增多。同时，随之而来的物业持有方运营成本缩减、服务降档，令人深思。</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建议1、政企合作，加大中小型企业孵化扶持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鼓励区内市场化楼宇开办孵化器业态，加强对孵化器型物业的政策支持力度，推动中、小、微企业孵化壮大，从需求端发力任重道远。从平台资源嫁接、专项政策帮扶、特色技术支持、人才福利（包括人才引进政策、社保、住房）等多方面，定向深入服务，鼓励行业服务水平创新升级。</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建议2、号召同业运营服务创新，服务企业、服务人才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较于政府产权物业，市场化楼宇在运营服务品质的出色表现值得学习。一栋优质的楼宇，留住一批企业优秀企业，对区域企业稳定性、人才稳定性贡献巨大。同时，无论是设施齐全、环境舒适的休憩空间，还是缤纷多样的运营活动，亦能在当前社会环境下，为增加居民幸福感指数略尽绵力。建议对体量大、客户优、稳定性强的高端楼宇，予以资源及资金方面的支持，号召同业专注服务与运营，禁止低价扰乱市场，鼓励物业持有方良性竞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建议3、政府物业定向招引外市企业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市场化楼宇主力客户为深圳本地企业，且深圳市内存量企业客户流转对全市整体税收贡献意义不大。建议政府产权物业或合作招商物业，主力面向外市企业引进，减少政府物业与同区域楼宇在区内企业选址过程中的竞争，为本地市场化楼宇预留生存空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建议4、统筹规划招商引资政策</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补充说明：根据各区的资源禀赋、产业基础和发展潜力，引导各区制定差异化、互补性的优惠政策方案，形成有效互补；加强对各区招商政策的监管和评估，确保政策的合理性和有效性，防止同市恶性竞争。</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