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2D0F4E">
      <w:pPr>
        <w:jc w:val="center"/>
        <w:rPr>
          <w:rFonts w:ascii="黑体" w:hAnsi="黑体" w:eastAsia="黑体"/>
          <w:b/>
          <w:sz w:val="28"/>
          <w:szCs w:val="28"/>
        </w:rPr>
      </w:pPr>
      <w:r>
        <w:rPr>
          <w:rFonts w:hint="eastAsia" w:ascii="黑体" w:hAnsi="黑体" w:eastAsia="黑体"/>
          <w:b/>
          <w:sz w:val="28"/>
          <w:szCs w:val="28"/>
        </w:rPr>
        <w:t>关于深圳市大力提振消费的建议</w:t>
      </w:r>
    </w:p>
    <w:p w14:paraId="724BB023">
      <w:pPr>
        <w:widowControl/>
        <w:jc w:val="center"/>
        <w:rPr>
          <w:rFonts w:hint="eastAsia" w:ascii="华文仿宋" w:hAnsi="华文仿宋" w:eastAsia="华文仿宋" w:cs="仿宋"/>
          <w:sz w:val="28"/>
          <w:szCs w:val="28"/>
        </w:rPr>
      </w:pPr>
      <w:r>
        <w:rPr>
          <w:rFonts w:ascii="宋体" w:hAnsi="宋体" w:eastAsia="宋体" w:cs="宋体"/>
          <w:b/>
          <w:sz w:val="36"/>
          <w:szCs w:val="36"/>
        </w:rPr>
        <w:t xml:space="preserve"> </w:t>
      </w:r>
    </w:p>
    <w:p w14:paraId="0C8B12EE">
      <w:pPr>
        <w:rPr>
          <w:rFonts w:hint="eastAsia" w:ascii="华文仿宋" w:hAnsi="华文仿宋" w:eastAsia="华文仿宋" w:cs="仿宋"/>
          <w:sz w:val="28"/>
          <w:szCs w:val="28"/>
        </w:rPr>
      </w:pPr>
      <w:r>
        <w:rPr>
          <w:rFonts w:hint="eastAsia" w:ascii="黑体" w:hAnsi="黑体" w:eastAsia="黑体"/>
          <w:sz w:val="28"/>
          <w:szCs w:val="28"/>
        </w:rPr>
        <w:t xml:space="preserve">提 出 </w:t>
      </w:r>
      <w:r>
        <w:rPr>
          <w:rFonts w:ascii="黑体" w:hAnsi="黑体" w:eastAsia="黑体"/>
          <w:sz w:val="28"/>
          <w:szCs w:val="28"/>
        </w:rPr>
        <w:t>人：</w:t>
      </w:r>
      <w:r>
        <w:rPr>
          <w:rFonts w:hint="eastAsia" w:ascii="仿宋" w:hAnsi="仿宋" w:eastAsia="仿宋" w:cs="仿宋"/>
          <w:sz w:val="28"/>
          <w:szCs w:val="28"/>
        </w:rPr>
        <w:t>张伟</w:t>
      </w:r>
    </w:p>
    <w:p w14:paraId="031B198C">
      <w:pPr>
        <w:rPr>
          <w:rFonts w:hint="eastAsia" w:ascii="华文仿宋" w:hAnsi="华文仿宋" w:eastAsia="华文仿宋" w:cs="仿宋"/>
          <w:sz w:val="28"/>
          <w:szCs w:val="28"/>
        </w:rPr>
      </w:pPr>
      <w:r>
        <w:rPr>
          <w:rFonts w:hint="eastAsia" w:ascii="黑体" w:hAnsi="黑体" w:eastAsia="黑体"/>
          <w:sz w:val="28"/>
          <w:szCs w:val="28"/>
        </w:rPr>
        <w:t xml:space="preserve">提 </w:t>
      </w:r>
      <w:r>
        <w:rPr>
          <w:rFonts w:hint="eastAsia" w:ascii="黑体" w:hAnsi="黑体" w:eastAsia="黑体"/>
          <w:sz w:val="28"/>
          <w:szCs w:val="28"/>
          <w:lang w:val="en-US" w:eastAsia="zh-CN"/>
        </w:rPr>
        <w:t>案</w:t>
      </w:r>
      <w:r>
        <w:rPr>
          <w:rFonts w:hint="eastAsia" w:ascii="黑体" w:hAnsi="黑体" w:eastAsia="黑体"/>
          <w:sz w:val="28"/>
          <w:szCs w:val="28"/>
        </w:rPr>
        <w:t xml:space="preserve"> </w:t>
      </w:r>
      <w:r>
        <w:rPr>
          <w:rFonts w:hint="eastAsia" w:ascii="黑体" w:hAnsi="黑体" w:eastAsia="黑体"/>
          <w:sz w:val="28"/>
          <w:szCs w:val="28"/>
          <w:lang w:val="en-US" w:eastAsia="zh-CN"/>
        </w:rPr>
        <w:t>号</w:t>
      </w:r>
      <w:r>
        <w:rPr>
          <w:rFonts w:ascii="黑体" w:hAnsi="黑体" w:eastAsia="黑体"/>
          <w:sz w:val="28"/>
          <w:szCs w:val="28"/>
        </w:rPr>
        <w:t>：</w:t>
      </w:r>
      <w:r>
        <w:rPr>
          <w:rFonts w:hint="eastAsia" w:ascii="仿宋" w:hAnsi="仿宋" w:eastAsia="仿宋" w:cs="仿宋"/>
          <w:sz w:val="28"/>
          <w:szCs w:val="28"/>
        </w:rPr>
        <w:t>20250534</w:t>
      </w:r>
    </w:p>
    <w:p w14:paraId="4AADE248">
      <w:pPr>
        <w:rPr>
          <w:rFonts w:hint="default" w:ascii="华文仿宋" w:hAnsi="华文仿宋" w:eastAsia="华文仿宋" w:cs="仿宋"/>
          <w:sz w:val="28"/>
          <w:szCs w:val="28"/>
          <w:lang w:val="en-US" w:eastAsia="zh-CN"/>
        </w:rPr>
      </w:pPr>
      <w:r>
        <w:rPr>
          <w:rFonts w:hint="eastAsia" w:ascii="黑体" w:hAnsi="黑体" w:eastAsia="黑体"/>
          <w:sz w:val="28"/>
          <w:szCs w:val="28"/>
          <w:lang w:val="en-US" w:eastAsia="zh-CN"/>
        </w:rPr>
        <w:t>办理类型：</w:t>
      </w:r>
      <w:r>
        <w:rPr>
          <w:rFonts w:hint="eastAsia" w:ascii="仿宋" w:hAnsi="仿宋" w:eastAsia="仿宋" w:cs="仿宋"/>
          <w:sz w:val="28"/>
          <w:szCs w:val="28"/>
          <w:lang w:val="en-US" w:eastAsia="zh-CN"/>
        </w:rPr>
        <w:t>主会办</w:t>
      </w:r>
    </w:p>
    <w:p w14:paraId="0DA60D15">
      <w:pPr>
        <w:rPr>
          <w:rFonts w:hint="eastAsia" w:ascii="仿宋" w:hAnsi="仿宋" w:eastAsia="仿宋" w:cs="仿宋"/>
          <w:sz w:val="28"/>
          <w:szCs w:val="28"/>
          <w:lang w:val="en-US" w:eastAsia="zh-CN"/>
        </w:rPr>
      </w:pPr>
      <w:r>
        <w:rPr>
          <w:rFonts w:hint="eastAsia" w:ascii="黑体" w:hAnsi="黑体" w:eastAsia="黑体"/>
          <w:sz w:val="28"/>
          <w:szCs w:val="28"/>
          <w:lang w:val="en-US" w:eastAsia="zh-CN"/>
        </w:rPr>
        <w:t>主办单位：</w:t>
      </w:r>
      <w:r>
        <w:rPr>
          <w:rFonts w:hint="eastAsia" w:ascii="仿宋" w:hAnsi="仿宋" w:eastAsia="仿宋" w:cs="仿宋"/>
          <w:sz w:val="28"/>
          <w:szCs w:val="28"/>
          <w:lang w:val="en-US" w:eastAsia="zh-CN"/>
        </w:rPr>
        <w:t>市商务局</w:t>
      </w:r>
    </w:p>
    <w:p w14:paraId="204A39AD">
      <w:pPr>
        <w:rPr>
          <w:rFonts w:hint="default" w:ascii="仿宋" w:hAnsi="仿宋" w:eastAsia="仿宋" w:cs="仿宋"/>
          <w:sz w:val="28"/>
          <w:szCs w:val="28"/>
          <w:lang w:val="en-US" w:eastAsia="zh-CN"/>
        </w:rPr>
      </w:pPr>
      <w:r>
        <w:rPr>
          <w:rFonts w:hint="eastAsia" w:ascii="黑体" w:hAnsi="黑体" w:eastAsia="黑体"/>
          <w:sz w:val="28"/>
          <w:szCs w:val="28"/>
          <w:lang w:val="en-US" w:eastAsia="zh-CN"/>
        </w:rPr>
        <w:t>会办单位：</w:t>
      </w:r>
      <w:r>
        <w:rPr>
          <w:rFonts w:hint="eastAsia" w:ascii="仿宋" w:hAnsi="仿宋" w:eastAsia="仿宋" w:cs="仿宋"/>
          <w:sz w:val="28"/>
          <w:szCs w:val="28"/>
          <w:lang w:val="en-US" w:eastAsia="zh-CN"/>
        </w:rPr>
        <w:t>市委金融办,市人力资源和社会保障局,市工业和信息化局,市民政局,市发展和改革委员会,市市场监督管理局,市文化广电旅游体育局,市医疗保障局</w:t>
      </w:r>
      <w:bookmarkStart w:id="0" w:name="_GoBack"/>
      <w:bookmarkEnd w:id="0"/>
    </w:p>
    <w:p w14:paraId="175817EB">
      <w:pPr>
        <w:rPr>
          <w:rFonts w:ascii="黑体" w:hAnsi="黑体" w:eastAsia="黑体"/>
          <w:sz w:val="28"/>
          <w:szCs w:val="28"/>
        </w:rPr>
      </w:pPr>
      <w:r>
        <w:rPr>
          <w:rFonts w:hint="eastAsia" w:ascii="黑体" w:hAnsi="黑体" w:eastAsia="黑体"/>
          <w:sz w:val="28"/>
          <w:szCs w:val="28"/>
          <w:lang w:val="en-US" w:eastAsia="zh-CN"/>
        </w:rPr>
        <w:t>案</w:t>
      </w:r>
      <w:r>
        <w:rPr>
          <w:rFonts w:hint="eastAsia" w:ascii="黑体" w:hAnsi="黑体" w:eastAsia="黑体"/>
          <w:sz w:val="28"/>
          <w:szCs w:val="28"/>
        </w:rPr>
        <w:t xml:space="preserve">    </w:t>
      </w:r>
      <w:r>
        <w:rPr>
          <w:rFonts w:hint="eastAsia" w:ascii="黑体" w:hAnsi="黑体" w:eastAsia="黑体"/>
          <w:sz w:val="28"/>
          <w:szCs w:val="28"/>
          <w:lang w:val="en-US" w:eastAsia="zh-CN"/>
        </w:rPr>
        <w:t>由</w:t>
      </w:r>
      <w:r>
        <w:rPr>
          <w:rFonts w:hint="eastAsia" w:ascii="黑体" w:hAnsi="黑体" w:eastAsia="黑体"/>
          <w:sz w:val="28"/>
          <w:szCs w:val="28"/>
        </w:rPr>
        <w:t>：</w:t>
      </w:r>
    </w:p>
    <w:p w14:paraId="679229BE">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一、背景</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消费作为经济增长的主引擎，对于推动经济高质量发展、保障民生福祉具有至关重要的作用。2024 年年底中央经济工作会议的重点工作任务强调，要大力提振消费、提高投资效益，全方位扩大国内需求。深圳作为我国经济发展的前沿阵地，在提振消费方面肩负着重要使命。尽管深圳消费市场规模庞大，连续两年社会消费品零售总额突破万亿元大关，但也面临着消费增速放缓、消费结构有待优化等挑战。在当前国内外经济形势复杂多变的背景下，大力提振深圳消费，对于增强经济内生动力、促进经济持续健康发展具有紧迫的现实意义。</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二、现状分析</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近年来，深圳消费市场规模持续扩大，2024 年全市社会消费品零售总额达 10637.7 亿元，连续两年跻身 “消费万亿俱乐部”。消费结构不断优化，新兴消费业态蓬勃发展，如新能源汽车、智能家居、宠物消费等成为新的消费增长点。但深圳消费市场仍存在一些问题。</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一是消费增速放缓，2024 年增速仅为 1.1%，相较于前些年显著下降，这与外部经济形势复杂、消费者信心不足等因素密切相关。</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二是消费结构有待进一步优化，服务消费占比虽有提升，但与国际先进水平相比仍有差距，且商品消费中高端、高品质产品供给不足。</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三是消费环境仍需改善，部分领域存在消费侵权、市场秩序不规范等问题，影响消费者的消费意愿。</w:t>
      </w:r>
    </w:p>
    <w:p w14:paraId="11981D77">
      <w:pPr>
        <w:rPr>
          <w:rFonts w:ascii="黑体" w:hAnsi="黑体" w:eastAsia="黑体"/>
          <w:sz w:val="28"/>
          <w:szCs w:val="28"/>
        </w:rPr>
      </w:pPr>
      <w:r>
        <w:rPr>
          <w:rFonts w:hint="eastAsia" w:ascii="黑体" w:hAnsi="黑体" w:eastAsia="黑体"/>
          <w:sz w:val="28"/>
          <w:szCs w:val="28"/>
        </w:rPr>
        <w:t xml:space="preserve">建 </w:t>
      </w:r>
      <w:r>
        <w:rPr>
          <w:rFonts w:hint="eastAsia" w:ascii="黑体" w:hAnsi="黑体" w:eastAsia="黑体"/>
          <w:sz w:val="28"/>
          <w:szCs w:val="28"/>
          <w:lang w:val="en-US" w:eastAsia="zh-CN"/>
        </w:rPr>
        <w:t xml:space="preserve">   </w:t>
      </w:r>
      <w:r>
        <w:rPr>
          <w:rFonts w:hint="eastAsia" w:ascii="黑体" w:hAnsi="黑体" w:eastAsia="黑体"/>
          <w:sz w:val="28"/>
          <w:szCs w:val="28"/>
        </w:rPr>
        <w:t>议：</w:t>
      </w:r>
    </w:p>
    <w:p w14:paraId="785C7282">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    建议1、加强消费政策支持</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1、制定消费促进专项政策出台《深圳市消费促进条例》，明确消费促进的目标、任务、措施和保障机制。设立消费促进专项资金，用于支持企业开展促销活动、创新消费模式、培育消费品牌等。2、优化消费补贴政策创新消费补贴方式，采用数字人民币发放消费券，提高补贴的精准性和使用效率。3、加大金融支持力度引导金融机构加大对消费领域的信贷投放，创新消费金融产品和服务。鼓励金融机构开展消费分期、消费信贷等业务，降低消费者的消费门槛。</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建议2、培育本土优质内容，打造“深圳原创”二次元品牌，促进青少年消费</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1、设立“深圳青少年二次元原创扶持计划”每年投入5000万元专项资金，支持青少年创作团队开发具有中华文化特色的动漫、游戏及衍生品（如国风虚拟偶像、非遗主题游戏），对优秀作品给予创作补贴（最高50万元/项目）及版权保护支持，并通过哔哩哔哩、腾讯视频等平台优先推广。联合高校和行业协会开设“二次元创作孵化基地”，提供技术培训、IP运营指导，推动作品商业化转化。2、举办“深圳国际青少年动漫嘉年华”每年暑期举办大型动漫主题活动，涵盖Cosplay大赛、原创漫画展、虚拟偶像演唱会等，吸引大湾区青少年参与。活动期间发放“动漫消费券”，可用于购买正版周边、体验AR/VR游戏等。3、建立二次元内容分级与正向引导机制明确不同年龄段的推荐作品清单，开展“青少年文化素养提升工程”，帮助青少年辨别不良信息，培养健康消费观念。4、推动“二次元+实体经济”融合消费场景在福田、南山等商圈建设“二次元主题街区”，引入潮玩盲盒店、国漫主题咖啡馆等业态，形成“打卡+消费”闭环。</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建议3、推动绿色循环消费，构建可持续生态</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1、完善二手商品交易体系建立全市统一的二手商品交易平台，支持电子产品、奢侈品等高附加值品类流转，对合规企业给予税收减免，并规范质检、估价标准。2、推广绿色消费认证与激励对符合低碳标准的产品（如节能家电、环保建材）加贴“深圳绿色消费标识”，消费者购买时可叠加数字人民币红包奖励。</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建议4、深化跨境消费便利化，建设大湾区消费枢纽</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1、扩大“深港跨境消费直通”试点在福田、罗湖、莲塘、深圳湾等口岸商圈设立“跨境消费服务中心”，为港澳居民提供一站式退税、支付、物流服务，并试点“大湾区免税购物白名单”制度，允许特定商品免税限额内自由流通。推广数字人民币跨境支付场景，联合香港金融机构推出“深港双币数字钱包”，简化跨境消费结算流程。2、打造“大湾区文旅消费走廊”联合香港、广州、珠海、澳门开发“一程多站”主题线路，推出“湾区文旅通票”，整合交通、住宿、景点资源，吸引国际游客。</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建议5、拓展新兴消费领域，培育增长新动能</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1、发展低空经济与智能消费场景依托深圳无人机产业优势，推动低空经济与消费融合，进一步试点“无人机送餐”“空中观光游览”等商业服务，打造全国首个低空经济消费示范区。支持企业开发智能服务机器人、机器狗舞狮等科技互动体验项目，融入商圈、景区等场景，增强消费吸引力。2、激活“银发经济”与适老化消费针对老年群体需求，开发健康监测设备、适老化智能家居等产品，推出“老年消费节”活动，并联合社区开展健康管理、智慧养老等增值服务。完善老年消费维权机制，建立“银发消费绿色通道”，优先处理老年群体投诉案件。</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建议6、优化消费供给结构</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1、推动传统消费升级鼓励企业加大技术创新和产品研发投入，提高传统消费品的品质和附加值。支持家电、服装、食品等传统行业开展智能化、绿色化改造。2、促进服务消费提质扩容全面提升教育、医疗、文化、体育、旅游、养老、家政服务等领域的供给水平。放宽市场准入限制，吸引更多社会资本进入服务消费领域，增加服务供给主体。加强服务标准化建设，提高服务质量和效率。</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建议7、提升居民消费能力</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1、促进工资性收入合理增长在经济合理增长的基础上，建议加强与企业的沟通协调，推动建立健全工资合理增长机制。引导企业根据经济效益和物价水平，合理提高员工工资待遇。例如，定期发布行业工资指导线，为企业确定工资增长幅度提供参考。对于积极落实工资增长的企业，给予税收优惠、财政补贴等政策支持。2、拓宽财产性收入渠道鼓励金融机构创新金融产品和服务，为居民提供更多元化的投资理财渠道。加强投资者教育，提高居民金融素养，增强其投资理财能力。例如，举办金融知识普及讲座、线上金融课程等活动。同时，规范金融市场秩序，加强对金融产品的监管，保障居民财产安全。3、加大对中低收入群体的扶持力度完善社会保障体系，提高社会保障水平。适当提高退休人员基本养老金、城乡居民基础养老金和城乡居民医保财政补助标准。加大对困难群体的救助力度，发放消费补贴、生活补贴等，增强其消费能力。例如，在春节、中秋等重要节日，为困难家庭发放节日消费券。</w:t>
      </w:r>
      <w:r>
        <w:rPr>
          <w:rFonts w:hint="eastAsia" w:ascii="仿宋" w:hAnsi="仿宋" w:eastAsia="仿宋" w:cs="仿宋"/>
          <w:sz w:val="28"/>
          <w:szCs w:val="28"/>
          <w:lang w:val="en-US" w:eastAsia="zh-CN"/>
        </w:rPr>
        <w:br/>
      </w:r>
    </w:p>
    <w:p w14:paraId="4639CDB5">
      <w:pPr>
        <w:spacing w:line="300" w:lineRule="auto"/>
        <w:jc w:val="left"/>
        <w:rPr>
          <w:rFonts w:hint="eastAsia" w:ascii="华文仿宋" w:hAnsi="华文仿宋" w:eastAsia="华文仿宋" w:cs="仿宋"/>
          <w:sz w:val="28"/>
          <w:szCs w:val="28"/>
        </w:rPr>
      </w:pPr>
    </w:p>
    <w:p w14:paraId="121E5B3E">
      <w:pPr>
        <w:spacing w:line="300" w:lineRule="auto"/>
        <w:jc w:val="left"/>
        <w:rPr>
          <w:rFonts w:hint="eastAsia" w:ascii="华文仿宋" w:hAnsi="华文仿宋" w:eastAsia="华文仿宋" w:cs="仿宋"/>
          <w:sz w:val="28"/>
          <w:szCs w:val="28"/>
        </w:rPr>
      </w:pPr>
    </w:p>
    <w:p w14:paraId="35FBD481">
      <w:pPr>
        <w:spacing w:line="300" w:lineRule="auto"/>
        <w:jc w:val="left"/>
        <w:rPr>
          <w:rFonts w:hint="eastAsia" w:ascii="华文仿宋" w:hAnsi="华文仿宋" w:eastAsia="华文仿宋" w:cs="仿宋"/>
          <w:sz w:val="28"/>
          <w:szCs w:val="28"/>
        </w:rPr>
      </w:pPr>
    </w:p>
    <w:p w14:paraId="53B4F6FB">
      <w:pPr>
        <w:spacing w:line="300" w:lineRule="auto"/>
        <w:ind w:left="8820" w:leftChars="0" w:firstLine="420" w:firstLineChars="0"/>
        <w:jc w:val="left"/>
        <w:rPr>
          <w:rFonts w:hint="default" w:ascii="华文仿宋" w:hAnsi="华文仿宋" w:eastAsia="华文仿宋" w:cs="仿宋"/>
          <w:sz w:val="28"/>
          <w:szCs w:val="28"/>
          <w:lang w:val="en-US" w:eastAsia="zh-CN"/>
        </w:rPr>
      </w:pPr>
      <w:r>
        <w:rPr>
          <w:rFonts w:hint="eastAsia" w:ascii="华文仿宋" w:hAnsi="华文仿宋" w:eastAsia="华文仿宋" w:cs="仿宋"/>
          <w:sz w:val="28"/>
          <w:szCs w:val="28"/>
          <w:lang w:val="en-US" w:eastAsia="zh-CN"/>
        </w:rPr>
        <w:t xml:space="preserve">       </w:t>
      </w:r>
    </w:p>
    <w:sectPr>
      <w:pgSz w:w="11906" w:h="16838"/>
      <w:pgMar w:top="1134" w:right="1134" w:bottom="1134" w:left="1134"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auto"/>
    <w:pitch w:val="default"/>
    <w:sig w:usb0="000002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ZlZjc5NzU4ZGUwYWY0YjI4YzEwNmJlZGExYWMxYjcifQ=="/>
  </w:docVars>
  <w:rsids>
    <w:rsidRoot w:val="00172A27"/>
    <w:rsid w:val="0008143B"/>
    <w:rsid w:val="00114C8B"/>
    <w:rsid w:val="00172A27"/>
    <w:rsid w:val="001743E8"/>
    <w:rsid w:val="001905DE"/>
    <w:rsid w:val="0020557F"/>
    <w:rsid w:val="0022236F"/>
    <w:rsid w:val="0032498D"/>
    <w:rsid w:val="00357243"/>
    <w:rsid w:val="003E2F50"/>
    <w:rsid w:val="00400A4F"/>
    <w:rsid w:val="00421852"/>
    <w:rsid w:val="0047585B"/>
    <w:rsid w:val="004B3E0B"/>
    <w:rsid w:val="004E1842"/>
    <w:rsid w:val="004F0D98"/>
    <w:rsid w:val="00524ADE"/>
    <w:rsid w:val="00593CA2"/>
    <w:rsid w:val="006972A4"/>
    <w:rsid w:val="007045FF"/>
    <w:rsid w:val="00742E3D"/>
    <w:rsid w:val="00842D42"/>
    <w:rsid w:val="008843EF"/>
    <w:rsid w:val="00A37C2A"/>
    <w:rsid w:val="00AA3F62"/>
    <w:rsid w:val="00AD314D"/>
    <w:rsid w:val="00C4675D"/>
    <w:rsid w:val="00C90EDC"/>
    <w:rsid w:val="00CA0734"/>
    <w:rsid w:val="00CD5057"/>
    <w:rsid w:val="00D300C8"/>
    <w:rsid w:val="00DA483D"/>
    <w:rsid w:val="00DE5C64"/>
    <w:rsid w:val="00E067A1"/>
    <w:rsid w:val="00E348E5"/>
    <w:rsid w:val="00E92D09"/>
    <w:rsid w:val="00EA40E8"/>
    <w:rsid w:val="00EC702C"/>
    <w:rsid w:val="00F633D8"/>
    <w:rsid w:val="00FC491D"/>
    <w:rsid w:val="02025461"/>
    <w:rsid w:val="045B37EA"/>
    <w:rsid w:val="076D5A73"/>
    <w:rsid w:val="0DCD0160"/>
    <w:rsid w:val="119B72CE"/>
    <w:rsid w:val="15A25C0B"/>
    <w:rsid w:val="1FB45B95"/>
    <w:rsid w:val="20743577"/>
    <w:rsid w:val="219D08AB"/>
    <w:rsid w:val="23AB72AF"/>
    <w:rsid w:val="23D33308"/>
    <w:rsid w:val="24407A3E"/>
    <w:rsid w:val="251F22F5"/>
    <w:rsid w:val="268818C7"/>
    <w:rsid w:val="2AA34F9C"/>
    <w:rsid w:val="2AB70E33"/>
    <w:rsid w:val="2D1365D5"/>
    <w:rsid w:val="31F91B2E"/>
    <w:rsid w:val="32B3585D"/>
    <w:rsid w:val="3320101A"/>
    <w:rsid w:val="33EE55C1"/>
    <w:rsid w:val="34594B05"/>
    <w:rsid w:val="34C1641E"/>
    <w:rsid w:val="36EC048C"/>
    <w:rsid w:val="401C18F7"/>
    <w:rsid w:val="410A7F42"/>
    <w:rsid w:val="418132C2"/>
    <w:rsid w:val="41AC096A"/>
    <w:rsid w:val="42DA32B5"/>
    <w:rsid w:val="491F5084"/>
    <w:rsid w:val="49365455"/>
    <w:rsid w:val="4E712D20"/>
    <w:rsid w:val="4E98737F"/>
    <w:rsid w:val="4FFB11C5"/>
    <w:rsid w:val="520619D1"/>
    <w:rsid w:val="53E41AB0"/>
    <w:rsid w:val="573E766F"/>
    <w:rsid w:val="57C21BF9"/>
    <w:rsid w:val="59A85A64"/>
    <w:rsid w:val="5DAF06A1"/>
    <w:rsid w:val="605E6E7C"/>
    <w:rsid w:val="64FD3107"/>
    <w:rsid w:val="66424FF7"/>
    <w:rsid w:val="6D2B3C26"/>
    <w:rsid w:val="6E82467D"/>
    <w:rsid w:val="73727D47"/>
    <w:rsid w:val="748051BB"/>
    <w:rsid w:val="776E137D"/>
    <w:rsid w:val="7B5D6256"/>
    <w:rsid w:val="7CD868E1"/>
    <w:rsid w:val="7F4965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autoRedefine/>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autoRedefine/>
    <w:qFormat/>
    <w:uiPriority w:val="0"/>
    <w:rPr>
      <w:kern w:val="2"/>
      <w:sz w:val="18"/>
      <w:szCs w:val="18"/>
    </w:rPr>
  </w:style>
  <w:style w:type="character" w:customStyle="1" w:styleId="8">
    <w:name w:val="页脚 字符"/>
    <w:basedOn w:val="6"/>
    <w:link w:val="2"/>
    <w:autoRedefine/>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37</Words>
  <Characters>136</Characters>
  <Lines>1</Lines>
  <Paragraphs>1</Paragraphs>
  <TotalTime>42</TotalTime>
  <ScaleCrop>false</ScaleCrop>
  <LinksUpToDate>false</LinksUpToDate>
  <CharactersWithSpaces>156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limje</dc:creator>
  <cp:lastModifiedBy>conwin</cp:lastModifiedBy>
  <dcterms:modified xsi:type="dcterms:W3CDTF">2025-03-17T02:40:51Z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051E9D70FBFC428299A73635EDBC4EC6_12</vt:lpwstr>
  </property>
  <property fmtid="{D5CDD505-2E9C-101B-9397-08002B2CF9AE}" pid="4" name="KSOTemplateDocerSaveRecord">
    <vt:lpwstr>eyJoZGlkIjoiMjViNjc2NWQ5ZGZhYzZjNjE1ODFjZWVlYjE3MTJiNzAifQ==</vt:lpwstr>
  </property>
</Properties>
</file>