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关于发挥深圳的跨境服务优势，打造具有全球竞争力的农业产业互联网平台的建议</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张煜</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20250492</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市乡村振兴和协作交流局,市委金融办,深圳市税务局</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农业贸易是对外贸易的重要组成部分和农业农村经济的重要领域，目前我国已成为全球第一大农产品进口国、第五大出口国，在世界农产品贸易中占有举足轻重的地位。智慧农业发展具有信息产业带动作用明显、创新成果转化能力强等特点。通过打造全球农业产业互联网平台，深圳可以整合全球农业资源，推动农业产业链的数字化升级，提升在全球农业市场的影响力和市场竞争力。响应国家战略，助力乡村振兴与农业现代化，输出技术和模式，帮扶其他地区提升农业生产效率和流通效率。</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但农业产业链的特点，就是人力密集型，资金密集型，资源密集型，流程密集型。需要大量要素支撑产业链的各个环节，且标准化道阻且长。以进口冻品农产品为例，上百个进口国家、一万余家准入的加工企业与供应商，数万种SKU，在不同地区对同一个产品叫法，标准也不一致。且农产品国际流通至今还是落后的对手交易模式。进口市场、一批市场、二批、三批市场，农产品供应链链路长，环节多，参与者众。运营成本高、信息不对称、环节不透明、流程不标准、管理不高效，风险难控制是目前农业产业的最大痛点。</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建议1、大力推进现代化农业产业流通体系建设，发展智慧农业，加快发展新质生产力。</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目前以大语言模型，具身智能为代表的人工智能技术正在蓬勃发展，但距离农业产业的应用还有较大距离。可以发布农业场景的人工智能应用场景清单，加强产学研合作与科技成果产业化落地，加快推进新质生产力在农业产业生产，流通，交易场景的应用。</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建议2、打造具有全球竞争力的农业产业互联网平台，推动农业产业供应链金融“脱核”模式，给予平台企业税务支持。</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发挥深圳跨境供应链优势，升级农业产业流通体系，鼓励银行业金融机构积极探索供应链“脱核”模式，支持供应链上民营中小微企业开展订单贷款、仓单质押贷款等业务，为核心企业“解绑”。可探索以优合金融监管仓项目为试点，打造“脱核”模式标杆项目，摆脱供应链金融对于核心企业的信用依赖，将科技金融扶持产业落到实处。对于平台企业来说，一些交易模式需政府支持；缺乏与新业态相适应的税收制度导致企业税负太重，平台发展受到限制；平台平进、平出开票或大额票证受到限制；平台建设成本高企、迭代快速，企业压力大。对于平台入驻企业来说，各流通环节上的市场主体对上游发票的获取时效性具有较高的要求。在单柜货值较高且开票额度较大的行业客观因素下，税务上存在较长期的发票额度培育期，很大程度上影响平台入驻企业业务的开展。税务的发票额度培育期无法满足和适应行业发展现状。</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建议3、对标国际先进水平，加强标准化，提升话语权，探索打通阻碍内外贸一体化的制度堵点。</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推动内外贸产品同线同标同质，积极参与各级标准制定，促进内外贸标准衔接、检验认证衔接、监管衔接。积极参与新一轮技术革命和产业变革背景下的国际经贸规则制定和完善。主动参与新型经济全球化背景下的全球治理。对标全面与进步跨太平洋伙伴关系协定（CPTPP）、数字经济伙伴关系协定（DEPA）等国际高标准经贸规则。推动电子提单等新型国际贸易工具落地。</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建议4、深化农业产业对外合作，扩大进口规模，充分发挥行业协会作用，鼓励成立跨境农产品产业联盟。</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在扩大进口方面，需要真正转换思维方式。进口不仅是我国参与国际循环的重要组成部分，也是连接国内大循环与国际循环的重要环节。增加进口有利于维持国际贸易平衡，减少贸易摩擦，扩大国内消费和服务业就业。利用我国超大规模的市场优势，扩大进口，在国内形成集聚效应后，一方面可以直接供应国内市场，另一方面在超比例生产后，产能超过国内市场需求，也会形成在出口方面的比较优势。目前，我们在全球农业产业的议价权与话语权，仍有较大的提升空间，需要充分发挥行业协会与产业联盟的力量。</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