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D0F4E">
      <w:pPr>
        <w:jc w:val="center"/>
        <w:rPr>
          <w:rFonts w:ascii="黑体" w:hAnsi="黑体" w:eastAsia="黑体"/>
          <w:b/>
          <w:sz w:val="28"/>
          <w:szCs w:val="28"/>
        </w:rPr>
      </w:pPr>
      <w:r>
        <w:rPr>
          <w:rFonts w:hint="eastAsia" w:ascii="黑体" w:hAnsi="黑体" w:eastAsia="黑体"/>
          <w:b/>
          <w:sz w:val="28"/>
          <w:szCs w:val="28"/>
        </w:rPr>
        <w:t>关于支持数字服务平台出海，推动实体经济拓展海外增长点的建议</w:t>
      </w:r>
    </w:p>
    <w:p w14:paraId="724BB023">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14:paraId="0C8B12EE">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致公党深圳市委会</w:t>
      </w:r>
    </w:p>
    <w:p w14:paraId="031B198C">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20250454</w:t>
      </w:r>
    </w:p>
    <w:p w14:paraId="4AADE248">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主会办</w:t>
      </w:r>
    </w:p>
    <w:p w14:paraId="0DA60D15">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市商务局</w:t>
      </w:r>
    </w:p>
    <w:p w14:paraId="204A39AD">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r>
        <w:rPr>
          <w:rFonts w:hint="eastAsia" w:ascii="仿宋" w:hAnsi="仿宋" w:eastAsia="仿宋" w:cs="仿宋"/>
          <w:sz w:val="28"/>
          <w:szCs w:val="28"/>
          <w:lang w:val="en-US" w:eastAsia="zh-CN"/>
        </w:rPr>
        <w:t>市贸促会,市工业和信息化局,市委网信办</w:t>
      </w:r>
      <w:bookmarkStart w:id="0" w:name="_GoBack"/>
      <w:bookmarkEnd w:id="0"/>
    </w:p>
    <w:p w14:paraId="175817EB">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14:paraId="679229BE">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实体经济发展不同时期所面临的矛盾与发展的重点是不相同的，因此，平台经济赋能实体经济的发展，除了要注重平台的基本功能的发挥，更要根据实体经济发展不同时期的重点，优化激活平台企业新的功能，以解决实体经济发展面临的新矛盾。当前，随着“一带一路”国家倡议为中国打开了更大的世界窗口并向纵深发展，越来越多的深圳实体企业厌倦国内市场的激烈内卷，瞄准海外市场，与单纯的“出口”相比，企业“出海”能更好规避贸易过程中可能出现的各种限制和风险。而随着全球供应链加速调整和技术变革，数字化已成为目前实体企业“出海”的必备要素，“出海”企业借助数字服务平台提升自身供应链竞争力是其扎稳脚跟的重要支撑。数字服务平台正成为连接国际贸易的重要枢纽，以及助力企业深度融入全球供应链、推动实体经济高质量发展的重要载体。但是，当前深圳市在数字服务平台出海方面也面临一些困难和挑战。</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一是数字服务出海龙头企业带动效应不足。目前，深圳市数字服务出海以腾讯等龙头企业为引领，但尚未形成龙头企业带动中小企业组团出海的典型模式和案例。中小企业在出海过程中，品牌知名度、市场拓展、风险应对等方面都处于劣势，需要龙头企业的牵引和政府的服务支持。</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二是数字服务出海的服务体系亟待建立完善。企业在出海过程中，面临不同国家和地区的数字贸易规则繁多且差异大、数字基础设施不完善、专业人才稀缺、渠道拓展成本高、国际市场本土保护导致进入难等一系列问题，深圳市目前尚未建立起系统化的数字服务出海的服务体系。</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三是数字服务出海面临较大的数据主权和合规挑战。随着数字化和全球化进程的加速，数据跨境流动成为常态。而数据主权的概念日益被重视，这意味着数据的控制权应归属于数据的原产地。这要求企业不仅要遵守本国的数据隐私政策，同时还需适应和响应其他国家和地区的法律法规。而不同地区的数据隐私法规存在显著差异，使得合规性成为企业的一大挑战。特别是跨国公司需要投入更多资源以确保遵守各地的数据保护规定，否则可能面临来自监管和执法机构的高额罚款。</w:t>
      </w:r>
    </w:p>
    <w:p w14:paraId="11981D77">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14:paraId="785C728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建议1、针对重点出海区域和企业，形成系列服务清单和产品推介清单</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全力支持跨境电商平台、云服务平台等企业出海，梳理我市平台企业出海的重点国家和地区，按照一地区一服务清单的模式，为企业针对不同地区的出海提供明确的指导和建议。同时，定期跟进该领域企业海外市场情况，针对不同国家和地区的市场开展情况，推动建立我市数字服务出海优势企业产品推介清单，通过政策支持方式组团式支持企业拓展海外市场。</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建议2、搭建一站式公共服务平台，为数字服务出海提供体系化的专业服务</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一是依托腾讯等互联网龙头企业加强信息网络设施建设，包括5G通信、数据中心、云计算平台等，为数字服务平台企业出海、新技术的应用提供良好的基础环境。二是通过搭建公共服务平台，为企业提供出海所需的各类支持服务，如咨询、辅导、初审、备案等全流程服务，帮助企业缩短申报时间，提高数据跨境流动的效率。尤其是针对数字服务出海方面建立专项服务，对企业面临的比较突出的数字化人才不足、数据安全和法律法规风险、海外市场拓展等方面问题，联动各部门、行业组织和专业机构多方面的资源，助力更多数字服务企业抱团出海、扬帆远航。</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建议3、支持数字服务重点领域市场主体培育，打造组团出海模式</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一是充分发挥深圳市软件信息服务业企业技术优势，加强数字技术创新赋能，持续鼓励先进技术贸易和高端离岸服务外包企业扩展数字服务出口规模，支持人工智能、数字创意、知识产权服务等优势领域进一步发展，加快培育我市数字贸易重点领域市场主体，构建领军企业创新引领、中小企业积极参与的数字贸易发展体系。二是以传音、中兴通讯、虾皮等在海外有较好发展基础的龙头企业作为“领航企业”，与辖区装机软件、广告营销、供应链管理等上下游配套企业，开展组团出海布局，凭借“领航企业”在海外积累的资源、渠道和人才优势，带动更多中小企业走出去。</w:t>
      </w:r>
      <w:r>
        <w:rPr>
          <w:rFonts w:hint="eastAsia" w:ascii="仿宋" w:hAnsi="仿宋" w:eastAsia="仿宋" w:cs="仿宋"/>
          <w:sz w:val="28"/>
          <w:szCs w:val="28"/>
          <w:lang w:val="en-US" w:eastAsia="zh-CN"/>
        </w:rPr>
        <w:br/>
      </w:r>
    </w:p>
    <w:p w14:paraId="4639CDB5">
      <w:pPr>
        <w:spacing w:line="300" w:lineRule="auto"/>
        <w:jc w:val="left"/>
        <w:rPr>
          <w:rFonts w:hint="eastAsia" w:ascii="华文仿宋" w:hAnsi="华文仿宋" w:eastAsia="华文仿宋" w:cs="仿宋"/>
          <w:sz w:val="28"/>
          <w:szCs w:val="28"/>
        </w:rPr>
      </w:pPr>
    </w:p>
    <w:p w14:paraId="121E5B3E">
      <w:pPr>
        <w:spacing w:line="300" w:lineRule="auto"/>
        <w:jc w:val="left"/>
        <w:rPr>
          <w:rFonts w:hint="eastAsia" w:ascii="华文仿宋" w:hAnsi="华文仿宋" w:eastAsia="华文仿宋" w:cs="仿宋"/>
          <w:sz w:val="28"/>
          <w:szCs w:val="28"/>
        </w:rPr>
      </w:pPr>
    </w:p>
    <w:p w14:paraId="35FBD481">
      <w:pPr>
        <w:spacing w:line="300" w:lineRule="auto"/>
        <w:jc w:val="left"/>
        <w:rPr>
          <w:rFonts w:hint="eastAsia" w:ascii="华文仿宋" w:hAnsi="华文仿宋" w:eastAsia="华文仿宋" w:cs="仿宋"/>
          <w:sz w:val="28"/>
          <w:szCs w:val="28"/>
        </w:rPr>
      </w:pPr>
    </w:p>
    <w:p w14:paraId="53B4F6FB">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conwin</cp:lastModifiedBy>
  <dcterms:modified xsi:type="dcterms:W3CDTF">2025-03-17T02:40:51Z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