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2D0F4E">
      <w:pPr>
        <w:jc w:val="center"/>
        <w:rPr>
          <w:rFonts w:ascii="黑体" w:hAnsi="黑体" w:eastAsia="黑体"/>
          <w:b/>
          <w:sz w:val="28"/>
          <w:szCs w:val="28"/>
        </w:rPr>
      </w:pPr>
      <w:r>
        <w:rPr>
          <w:rFonts w:hint="eastAsia" w:ascii="黑体" w:hAnsi="黑体" w:eastAsia="黑体"/>
          <w:b/>
          <w:sz w:val="28"/>
          <w:szCs w:val="28"/>
        </w:rPr>
        <w:t>关于加强我市生活美容业监管的提案</w:t>
      </w:r>
    </w:p>
    <w:p w14:paraId="724BB023">
      <w:pPr>
        <w:widowControl/>
        <w:jc w:val="center"/>
        <w:rPr>
          <w:rFonts w:hint="eastAsia" w:ascii="华文仿宋" w:hAnsi="华文仿宋" w:eastAsia="华文仿宋" w:cs="仿宋"/>
          <w:sz w:val="28"/>
          <w:szCs w:val="28"/>
        </w:rPr>
      </w:pPr>
      <w:r>
        <w:rPr>
          <w:rFonts w:ascii="宋体" w:hAnsi="宋体" w:eastAsia="宋体" w:cs="宋体"/>
          <w:b/>
          <w:sz w:val="36"/>
          <w:szCs w:val="36"/>
        </w:rPr>
        <w:t xml:space="preserve"> </w:t>
      </w:r>
    </w:p>
    <w:p w14:paraId="0C8B12EE">
      <w:pPr>
        <w:rPr>
          <w:rFonts w:hint="eastAsia" w:ascii="华文仿宋" w:hAnsi="华文仿宋" w:eastAsia="华文仿宋" w:cs="仿宋"/>
          <w:sz w:val="28"/>
          <w:szCs w:val="28"/>
        </w:rPr>
      </w:pPr>
      <w:r>
        <w:rPr>
          <w:rFonts w:hint="eastAsia" w:ascii="黑体" w:hAnsi="黑体" w:eastAsia="黑体"/>
          <w:sz w:val="28"/>
          <w:szCs w:val="28"/>
        </w:rPr>
        <w:t xml:space="preserve">提 出 </w:t>
      </w:r>
      <w:r>
        <w:rPr>
          <w:rFonts w:ascii="黑体" w:hAnsi="黑体" w:eastAsia="黑体"/>
          <w:sz w:val="28"/>
          <w:szCs w:val="28"/>
        </w:rPr>
        <w:t>人：</w:t>
      </w:r>
      <w:r>
        <w:rPr>
          <w:rFonts w:hint="eastAsia" w:ascii="仿宋" w:hAnsi="仿宋" w:eastAsia="仿宋" w:cs="仿宋"/>
          <w:sz w:val="28"/>
          <w:szCs w:val="28"/>
        </w:rPr>
        <w:t>民革深圳市委会</w:t>
      </w:r>
    </w:p>
    <w:p w14:paraId="031B198C">
      <w:pPr>
        <w:rPr>
          <w:rFonts w:hint="eastAsia" w:ascii="华文仿宋" w:hAnsi="华文仿宋" w:eastAsia="华文仿宋" w:cs="仿宋"/>
          <w:sz w:val="28"/>
          <w:szCs w:val="28"/>
        </w:rPr>
      </w:pPr>
      <w:r>
        <w:rPr>
          <w:rFonts w:hint="eastAsia" w:ascii="黑体" w:hAnsi="黑体" w:eastAsia="黑体"/>
          <w:sz w:val="28"/>
          <w:szCs w:val="28"/>
        </w:rPr>
        <w:t xml:space="preserve">提 </w:t>
      </w: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号</w:t>
      </w:r>
      <w:r>
        <w:rPr>
          <w:rFonts w:ascii="黑体" w:hAnsi="黑体" w:eastAsia="黑体"/>
          <w:sz w:val="28"/>
          <w:szCs w:val="28"/>
        </w:rPr>
        <w:t>：</w:t>
      </w:r>
      <w:r>
        <w:rPr>
          <w:rFonts w:hint="eastAsia" w:ascii="仿宋" w:hAnsi="仿宋" w:eastAsia="仿宋" w:cs="仿宋"/>
          <w:sz w:val="28"/>
          <w:szCs w:val="28"/>
        </w:rPr>
        <w:t>20250390</w:t>
      </w:r>
    </w:p>
    <w:p w14:paraId="4AADE248">
      <w:pPr>
        <w:rPr>
          <w:rFonts w:hint="default" w:ascii="华文仿宋" w:hAnsi="华文仿宋" w:eastAsia="华文仿宋" w:cs="仿宋"/>
          <w:sz w:val="28"/>
          <w:szCs w:val="28"/>
          <w:lang w:val="en-US" w:eastAsia="zh-CN"/>
        </w:rPr>
      </w:pPr>
      <w:r>
        <w:rPr>
          <w:rFonts w:hint="eastAsia" w:ascii="黑体" w:hAnsi="黑体" w:eastAsia="黑体"/>
          <w:sz w:val="28"/>
          <w:szCs w:val="28"/>
          <w:lang w:val="en-US" w:eastAsia="zh-CN"/>
        </w:rPr>
        <w:t>办理类型：</w:t>
      </w:r>
      <w:r>
        <w:rPr>
          <w:rFonts w:hint="eastAsia" w:ascii="仿宋" w:hAnsi="仿宋" w:eastAsia="仿宋" w:cs="仿宋"/>
          <w:sz w:val="28"/>
          <w:szCs w:val="28"/>
          <w:lang w:val="en-US" w:eastAsia="zh-CN"/>
        </w:rPr>
        <w:t>主会办</w:t>
      </w:r>
    </w:p>
    <w:p w14:paraId="0DA60D15">
      <w:pPr>
        <w:rPr>
          <w:rFonts w:hint="eastAsia" w:ascii="仿宋" w:hAnsi="仿宋" w:eastAsia="仿宋" w:cs="仿宋"/>
          <w:sz w:val="28"/>
          <w:szCs w:val="28"/>
          <w:lang w:val="en-US" w:eastAsia="zh-CN"/>
        </w:rPr>
      </w:pPr>
      <w:r>
        <w:rPr>
          <w:rFonts w:hint="eastAsia" w:ascii="黑体" w:hAnsi="黑体" w:eastAsia="黑体"/>
          <w:sz w:val="28"/>
          <w:szCs w:val="28"/>
          <w:lang w:val="en-US" w:eastAsia="zh-CN"/>
        </w:rPr>
        <w:t>主办单位：</w:t>
      </w:r>
      <w:r>
        <w:rPr>
          <w:rFonts w:hint="eastAsia" w:ascii="仿宋" w:hAnsi="仿宋" w:eastAsia="仿宋" w:cs="仿宋"/>
          <w:sz w:val="28"/>
          <w:szCs w:val="28"/>
          <w:lang w:val="en-US" w:eastAsia="zh-CN"/>
        </w:rPr>
        <w:t>市商务局</w:t>
      </w:r>
    </w:p>
    <w:p w14:paraId="204A39AD">
      <w:pPr>
        <w:rPr>
          <w:rFonts w:hint="default" w:ascii="仿宋" w:hAnsi="仿宋" w:eastAsia="仿宋" w:cs="仿宋"/>
          <w:sz w:val="28"/>
          <w:szCs w:val="28"/>
          <w:lang w:val="en-US" w:eastAsia="zh-CN"/>
        </w:rPr>
      </w:pPr>
      <w:r>
        <w:rPr>
          <w:rFonts w:hint="eastAsia" w:ascii="黑体" w:hAnsi="黑体" w:eastAsia="黑体"/>
          <w:sz w:val="28"/>
          <w:szCs w:val="28"/>
          <w:lang w:val="en-US" w:eastAsia="zh-CN"/>
        </w:rPr>
        <w:t>会办单位：</w:t>
      </w:r>
      <w:r>
        <w:rPr>
          <w:rFonts w:hint="eastAsia" w:ascii="仿宋" w:hAnsi="仿宋" w:eastAsia="仿宋" w:cs="仿宋"/>
          <w:sz w:val="28"/>
          <w:szCs w:val="28"/>
          <w:lang w:val="en-US" w:eastAsia="zh-CN"/>
        </w:rPr>
        <w:t>市卫生健康委员会,市市场监督管理局</w:t>
      </w:r>
      <w:bookmarkStart w:id="0" w:name="_GoBack"/>
      <w:bookmarkEnd w:id="0"/>
    </w:p>
    <w:p w14:paraId="175817EB">
      <w:pPr>
        <w:rPr>
          <w:rFonts w:ascii="黑体" w:hAnsi="黑体" w:eastAsia="黑体"/>
          <w:sz w:val="28"/>
          <w:szCs w:val="28"/>
        </w:rPr>
      </w:pP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由</w:t>
      </w:r>
      <w:r>
        <w:rPr>
          <w:rFonts w:hint="eastAsia" w:ascii="黑体" w:hAnsi="黑体" w:eastAsia="黑体"/>
          <w:sz w:val="28"/>
          <w:szCs w:val="28"/>
        </w:rPr>
        <w:t>：</w:t>
      </w:r>
    </w:p>
    <w:p w14:paraId="679229BE">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1.生活美容业快速发展。生活美容业是指运用手法技术、器械设备并借助于化妆、美容护肤等产品，为消费者提供人体表面无创伤性、非侵入性的皮肤清洁、皮肤保养、化妆修饰等服务的企业、机构集合而成的产业群体。随着我国居民消费结构不断升级，近年来生活美容业发展迅速，已与电子通讯、汽车、房地产、旅游并列为五大消费热点，成为扩大服务消费的重要行业。初步测算2024年生活美容业市场规模约6466亿元。中国商业联合会发布生活美容行业研究报告根据我国城镇居民人口增长率、消费频次、客单价复合增长率等相关数据综合测算，预测2025年生活美容业市场规模将达到8375亿元，年复合增长率约为17.3%。</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2.生活美容业发展问题。根据中国消费者协会发布的《2024年全国消协组织受理投诉情况分析》，2024年美容、美发服务遭投诉28694起，在投诉量前十位的服务行业中排位第七。投诉主要涉及推销办卡、价格高昂、强制消费、虚假宣传、预付消费等，暴露行业发展存在以下问题：一是监管体系有待完善。全国两会代表委员已多次就生活美容业服务质量问题提出提案建议。2021年11月19日，商务部在《关于全国政协十三届全国委员会第四次会议第4906号（商贸旅游类125号）提案答复的函》中表示，正积极推动出台《美容业诚信管理体系》《美容业服务质量管理规范》两个行业标准，进一步健全美容业标准体系建设。具体到广东省和深圳市，需进一步细化各部们涉及生活美容业的监管职责，并出台地方配套措施，构建综合监管机制，加强服务全过程监管力度。二是行业自律亟需增强。生活美容业市场准入门槛低，生活美容机构呈现小而散状态，大街小巷随处可见美容、美发、美甲店数不胜数。机构自我管理意识不强，从业者法治意识淡漠，尚未完全落实依法诚信执业主体责任，甚至为追求利润不惜铤而走险，导致机构违法开展医疗美容、诱导消费者预付式消费后卷款跑路等行业乱象屡禁不绝。部分县区尚未成立生活美容行业协会，自我组织、自我管理无法实施。三是纠纷解决有待优化。在基层生活美容行业消费纠纷调处过程中发现，部分生活美容机构夸大服务效果，消费者付出高额费用接受服务后，服务效果却未达消费者预期，导致消费者认为受骗上当，遂投诉机构实施了消费贷、非法行医等违法行为，希望监管部门介入调处，协调机构退还费用。监管部门启动调查后，发现并不存在上述违法行为，无益于解决消费者真实诉求，且浪费行政执法资源。</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w:t>
      </w:r>
    </w:p>
    <w:p w14:paraId="11981D77">
      <w:pPr>
        <w:rPr>
          <w:rFonts w:ascii="黑体" w:hAnsi="黑体" w:eastAsia="黑体"/>
          <w:sz w:val="28"/>
          <w:szCs w:val="28"/>
        </w:rPr>
      </w:pPr>
      <w:r>
        <w:rPr>
          <w:rFonts w:hint="eastAsia" w:ascii="黑体" w:hAnsi="黑体" w:eastAsia="黑体"/>
          <w:sz w:val="28"/>
          <w:szCs w:val="28"/>
        </w:rPr>
        <w:t xml:space="preserve">建 </w:t>
      </w:r>
      <w:r>
        <w:rPr>
          <w:rFonts w:hint="eastAsia" w:ascii="黑体" w:hAnsi="黑体" w:eastAsia="黑体"/>
          <w:sz w:val="28"/>
          <w:szCs w:val="28"/>
          <w:lang w:val="en-US" w:eastAsia="zh-CN"/>
        </w:rPr>
        <w:t xml:space="preserve">   </w:t>
      </w:r>
      <w:r>
        <w:rPr>
          <w:rFonts w:hint="eastAsia" w:ascii="黑体" w:hAnsi="黑体" w:eastAsia="黑体"/>
          <w:sz w:val="28"/>
          <w:szCs w:val="28"/>
        </w:rPr>
        <w:t>议：</w:t>
      </w:r>
    </w:p>
    <w:p w14:paraId="785C7282">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建议1、快速有效解决消费纠纷。</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各地可借鉴湖南省、浙江省等地做法，出台生活美容行业消费纠纷调处规定，明确调处部门、职责和程序。各部门在接到行业消费纠纷投诉时，要以保护消费者合法权益，快速有效化解消费纠纷为目的，立即向消费和机构双方问询基本情况，掌握消费者真实诉求，属于本部门职责予以调处，不属于本部门职责的流转至相关职能部门。各地消费者协会可邀请美容、医疗、法律等领域资深人士，组建行业专业委员会，对纠纷出具独立、专业的意见，作为调处的重要参考。可向社会公开纠纷调处典型案例，向社会发出专业消费警示，引导消费者理性消费，做维护自身消费权益第一责任人。如在纠纷调处过程中发现，消费者确有证据指向机构涉嫌实施了强制消费、发布医疗美容广告、开展医疗活动等违法行为，要将线索转职能部门依法依规查处。</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建议2、发挥行业协会自律作用。</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各地商务部门可积极培育生活美容行业协会特别是基层县区协会，创造条件支持协会发挥行业自律作用，并强化与协会的信息通报与监管联动，将行业自律情况作为监管的重要参考。协会要加强《美容业诚信管理体系》《美容业服务质量管理规范》的宣贯落实，推动行业自律制度化、常态化。加强对会员的培训指导，督促会员切实加强服务质量和安全管理。加大生活美容法律法规普法宣教力度，向会员发布生活美容机构违法经营典型案例，进一步增强从业者依法诚信执业意识。组织开展消费体察、调查评议等公益活动，增强群众安全就医辨识能力，积极宣传倡导群众接受医疗美容服务时，选择正规医疗美容机构和执业医师，主动查看医疗美容机构和执业医师的资质证明，主动索取病历资料和票据，自觉抵制生活美容机构的医疗活动，察觉涉嫌非法行医及时拨打12345。</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建议3、压实机构依法诚信执业主体责任。</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生活美容机构要对本机构依法诚信执业承担主体责任，其法定代表人或主要负责人是第一责任人。可在机构显著位置张贴“不开展医疗美容服务”并明确告知消费者，聚焦广告、器械、耗材、化妆品、服务项目等关键内容，每月开展一次自查自纠，杜绝使用药品和医疗器械、诱导消费者使用消费贷。不得在咨询、介绍、服务活动中作出不符合法律法规的承诺和夸大服务效果的表述。不得鼓励无相应医师资质和医学药学知识的人员从事医疗美容咨询、引导甚至服务。严禁培训所谓医疗美容新项目、新技术，严禁宣称学习医疗美容技术能够快速致富。对于落实主体责任不力导致消费纠纷频发的生活美容机构，各地商务部门可纳入重点整治“黑名单”，并向社会公布整治结果，情节严重的移交市场监管部门，建议取消其经营资格或进行处罚。</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建议4、完善行业综合监管体系。</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2024年7月，商务部公开征求《美容业诚信管理体系》《美容业服务质量管理规范》意见，各地商务部门要落实生活美容行业监管职责，牵头推进跨部门综合监管。市场监管、卫生健康部门可在生活美容机构办理《营业执照》和《公共场所卫生许可证》时，当场告知申请人开展医疗美容须办理许可审批，在取得批准前，不得开展医疗美容。市场监管部门可定期将经营范围含有生活美容、医疗美容等内容的市场主体登记注册信息通报卫生健康部门，由卫生健康部门核查是否取得《医疗机构执业许可证》或“诊所备案凭证”，进一步督促市场主体依法执业，严禁非法行医。其它部门在职责范围内对生活美容机构进行日常检查，如发现机构超范围经营，第一时间固定证据及时移交职能部门，并在职责范围内依法查处机构其它违法行为。</w:t>
      </w:r>
      <w:r>
        <w:rPr>
          <w:rFonts w:hint="eastAsia" w:ascii="仿宋" w:hAnsi="仿宋" w:eastAsia="仿宋" w:cs="仿宋"/>
          <w:sz w:val="28"/>
          <w:szCs w:val="28"/>
          <w:lang w:val="en-US" w:eastAsia="zh-CN"/>
        </w:rPr>
        <w:br/>
      </w:r>
    </w:p>
    <w:p w14:paraId="4639CDB5">
      <w:pPr>
        <w:spacing w:line="300" w:lineRule="auto"/>
        <w:jc w:val="left"/>
        <w:rPr>
          <w:rFonts w:hint="eastAsia" w:ascii="华文仿宋" w:hAnsi="华文仿宋" w:eastAsia="华文仿宋" w:cs="仿宋"/>
          <w:sz w:val="28"/>
          <w:szCs w:val="28"/>
        </w:rPr>
      </w:pPr>
    </w:p>
    <w:p w14:paraId="121E5B3E">
      <w:pPr>
        <w:spacing w:line="300" w:lineRule="auto"/>
        <w:jc w:val="left"/>
        <w:rPr>
          <w:rFonts w:hint="eastAsia" w:ascii="华文仿宋" w:hAnsi="华文仿宋" w:eastAsia="华文仿宋" w:cs="仿宋"/>
          <w:sz w:val="28"/>
          <w:szCs w:val="28"/>
        </w:rPr>
      </w:pPr>
    </w:p>
    <w:p w14:paraId="35FBD481">
      <w:pPr>
        <w:spacing w:line="300" w:lineRule="auto"/>
        <w:jc w:val="left"/>
        <w:rPr>
          <w:rFonts w:hint="eastAsia" w:ascii="华文仿宋" w:hAnsi="华文仿宋" w:eastAsia="华文仿宋" w:cs="仿宋"/>
          <w:sz w:val="28"/>
          <w:szCs w:val="28"/>
        </w:rPr>
      </w:pPr>
    </w:p>
    <w:p w14:paraId="53B4F6FB">
      <w:pPr>
        <w:spacing w:line="300" w:lineRule="auto"/>
        <w:ind w:left="8820" w:leftChars="0" w:firstLine="420" w:firstLineChars="0"/>
        <w:jc w:val="left"/>
        <w:rPr>
          <w:rFonts w:hint="default" w:ascii="华文仿宋" w:hAnsi="华文仿宋" w:eastAsia="华文仿宋" w:cs="仿宋"/>
          <w:sz w:val="28"/>
          <w:szCs w:val="28"/>
          <w:lang w:val="en-US" w:eastAsia="zh-CN"/>
        </w:rPr>
      </w:pPr>
      <w:r>
        <w:rPr>
          <w:rFonts w:hint="eastAsia" w:ascii="华文仿宋" w:hAnsi="华文仿宋" w:eastAsia="华文仿宋" w:cs="仿宋"/>
          <w:sz w:val="28"/>
          <w:szCs w:val="28"/>
          <w:lang w:val="en-US" w:eastAsia="zh-CN"/>
        </w:rPr>
        <w:t xml:space="preserve">       </w:t>
      </w:r>
    </w:p>
    <w:sectPr>
      <w:pgSz w:w="11906" w:h="16838"/>
      <w:pgMar w:top="1134" w:right="1134" w:bottom="1134" w:left="113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auto"/>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lZjc5NzU4ZGUwYWY0YjI4YzEwNmJlZGExYWMxYjcifQ=="/>
  </w:docVars>
  <w:rsids>
    <w:rsidRoot w:val="00172A27"/>
    <w:rsid w:val="0008143B"/>
    <w:rsid w:val="00114C8B"/>
    <w:rsid w:val="00172A27"/>
    <w:rsid w:val="001743E8"/>
    <w:rsid w:val="001905DE"/>
    <w:rsid w:val="0020557F"/>
    <w:rsid w:val="0022236F"/>
    <w:rsid w:val="0032498D"/>
    <w:rsid w:val="00357243"/>
    <w:rsid w:val="003E2F50"/>
    <w:rsid w:val="00400A4F"/>
    <w:rsid w:val="00421852"/>
    <w:rsid w:val="0047585B"/>
    <w:rsid w:val="004B3E0B"/>
    <w:rsid w:val="004E1842"/>
    <w:rsid w:val="004F0D98"/>
    <w:rsid w:val="00524ADE"/>
    <w:rsid w:val="00593CA2"/>
    <w:rsid w:val="006972A4"/>
    <w:rsid w:val="007045FF"/>
    <w:rsid w:val="00742E3D"/>
    <w:rsid w:val="00842D42"/>
    <w:rsid w:val="008843EF"/>
    <w:rsid w:val="00A37C2A"/>
    <w:rsid w:val="00AA3F62"/>
    <w:rsid w:val="00AD314D"/>
    <w:rsid w:val="00C4675D"/>
    <w:rsid w:val="00C90EDC"/>
    <w:rsid w:val="00CA0734"/>
    <w:rsid w:val="00CD5057"/>
    <w:rsid w:val="00D300C8"/>
    <w:rsid w:val="00DA483D"/>
    <w:rsid w:val="00DE5C64"/>
    <w:rsid w:val="00E067A1"/>
    <w:rsid w:val="00E348E5"/>
    <w:rsid w:val="00E92D09"/>
    <w:rsid w:val="00EA40E8"/>
    <w:rsid w:val="00EC702C"/>
    <w:rsid w:val="00F633D8"/>
    <w:rsid w:val="00FC491D"/>
    <w:rsid w:val="02025461"/>
    <w:rsid w:val="045B37EA"/>
    <w:rsid w:val="076D5A73"/>
    <w:rsid w:val="0DCD0160"/>
    <w:rsid w:val="119B72CE"/>
    <w:rsid w:val="15A25C0B"/>
    <w:rsid w:val="1FB45B95"/>
    <w:rsid w:val="20743577"/>
    <w:rsid w:val="219D08AB"/>
    <w:rsid w:val="23AB72AF"/>
    <w:rsid w:val="23D33308"/>
    <w:rsid w:val="24407A3E"/>
    <w:rsid w:val="251F22F5"/>
    <w:rsid w:val="268818C7"/>
    <w:rsid w:val="2AA34F9C"/>
    <w:rsid w:val="2AB70E33"/>
    <w:rsid w:val="2D1365D5"/>
    <w:rsid w:val="31F91B2E"/>
    <w:rsid w:val="32B3585D"/>
    <w:rsid w:val="3320101A"/>
    <w:rsid w:val="33EE55C1"/>
    <w:rsid w:val="34594B05"/>
    <w:rsid w:val="34C1641E"/>
    <w:rsid w:val="36EC048C"/>
    <w:rsid w:val="401C18F7"/>
    <w:rsid w:val="410A7F42"/>
    <w:rsid w:val="418132C2"/>
    <w:rsid w:val="41AC096A"/>
    <w:rsid w:val="42DA32B5"/>
    <w:rsid w:val="491F5084"/>
    <w:rsid w:val="49365455"/>
    <w:rsid w:val="4E712D20"/>
    <w:rsid w:val="4E98737F"/>
    <w:rsid w:val="4FFB11C5"/>
    <w:rsid w:val="520619D1"/>
    <w:rsid w:val="53E41AB0"/>
    <w:rsid w:val="573E766F"/>
    <w:rsid w:val="57C21BF9"/>
    <w:rsid w:val="59A85A64"/>
    <w:rsid w:val="5DAF06A1"/>
    <w:rsid w:val="605E6E7C"/>
    <w:rsid w:val="64FD3107"/>
    <w:rsid w:val="66424FF7"/>
    <w:rsid w:val="6D2B3C26"/>
    <w:rsid w:val="6E82467D"/>
    <w:rsid w:val="73727D47"/>
    <w:rsid w:val="748051BB"/>
    <w:rsid w:val="776E137D"/>
    <w:rsid w:val="7B5D6256"/>
    <w:rsid w:val="7CD868E1"/>
    <w:rsid w:val="7F4965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autoRedefine/>
    <w:qFormat/>
    <w:uiPriority w:val="0"/>
    <w:rPr>
      <w:kern w:val="2"/>
      <w:sz w:val="18"/>
      <w:szCs w:val="18"/>
    </w:rPr>
  </w:style>
  <w:style w:type="character" w:customStyle="1" w:styleId="8">
    <w:name w:val="页脚 字符"/>
    <w:basedOn w:val="6"/>
    <w:link w:val="2"/>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Words>
  <Characters>136</Characters>
  <Lines>1</Lines>
  <Paragraphs>1</Paragraphs>
  <TotalTime>42</TotalTime>
  <ScaleCrop>false</ScaleCrop>
  <LinksUpToDate>false</LinksUpToDate>
  <CharactersWithSpaces>156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limje</dc:creator>
  <cp:lastModifiedBy>conwin</cp:lastModifiedBy>
  <dcterms:modified xsi:type="dcterms:W3CDTF">2025-03-17T02:40:51Z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051E9D70FBFC428299A73635EDBC4EC6_12</vt:lpwstr>
  </property>
  <property fmtid="{D5CDD505-2E9C-101B-9397-08002B2CF9AE}" pid="4" name="KSOTemplateDocerSaveRecord">
    <vt:lpwstr>eyJoZGlkIjoiMjViNjc2NWQ5ZGZhYzZjNjE1ODFjZWVlYjE3MTJiNzAifQ==</vt:lpwstr>
  </property>
</Properties>
</file>