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sz w:val="28"/>
          <w:szCs w:val="28"/>
        </w:rPr>
      </w:pPr>
      <w:r>
        <w:rPr>
          <w:rFonts w:hint="eastAsia" w:ascii="黑体" w:hAnsi="黑体" w:eastAsia="黑体"/>
          <w:b/>
          <w:sz w:val="28"/>
          <w:szCs w:val="28"/>
        </w:rPr>
        <w:t>关于深圳会展业持续优质发展的建议</w:t>
      </w:r>
    </w:p>
    <w:p>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周丽</w:t>
      </w:r>
    </w:p>
    <w:p>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20250313</w:t>
      </w:r>
    </w:p>
    <w:p>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市工业和信息化局,市财政局,市文化广电旅游体育局</w:t>
      </w:r>
    </w:p>
    <w:p>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我市会展业起步于20世纪80年代末，截至2024年，我市现有展馆总面积54万㎡，展会主办企业90家左右，各类会展服务商约3000家。2024年，我市展会数量195场，总展览面积超1030万平方米，位居全国第三。10万平方米以上超大型展会11个，共吸引超4.5万家参展企业参展，包含境外展商超1800家，参展观众人次超780万，包含境外观众超10万。专业展馆举办会议论坛76场（不含“展带会”）。截至2024年底，深圳UFI认证展会数量达到29个，位居全国第二；UFI认证会员数量达到20家，位居全国第三。《2023年中国城市会展业竞争力指数报告》深圳会展业竞争力指数排名第四，居计划单列市第一位，在会展产业专业竞争力、会展企业竞争力、会展基础设施竞争力和城市宏观环境竞争力等方面表现突出，但也存在制约持续优质发展的问题：取消民营企业及中小企业参展补贴，直接影响参展积极性。《深圳市民营及中小企业发展专项资金管理办法》(深经贸信息规〔2017〕8号)过期作废了，但新发布的《深圳市工业和信息化局民营及中小企业发展项目扶持计划操作规程》（深工信规〔2023〕4号）删除原《资金管理办法》“第八条 专项资金使用范围如下：(三)民营及中小企业国内市场开拓资助项目。主要对民营及中小企业自行参加的各类经贸科技类展会展位费给予补贴”。政府推出的消费政策暂未覆盖会展行业。政府主管部门带团走出去力度不够，同国内主要城市联系不够紧密。顶尖展会龙头企业不足，缺乏具有全球影响力和品牌效应的会展龙头企业。展览创新创意模式仍处于待发展阶段，跨界融合和多样化展览形式不够；体验式会展和创新互动方式不够；数字化和智能化应用不够。会展业属于现代服务业，《中共中央国务院关于支持深圳建设中国特色社会主义先行示范区的意见》中提出，“鼓励深圳与香港、澳门联合举办多种形式的文化艺术活动”；《“十四五”规划和2035年远景目标》中提出，要“加强文化市场体系建设，扩大优质文化产品供给”；《粤港澳大湾区发展规划纲要》中明确，要“以航运物流、旅游服务、文化创意、人力资源服务、会议展览及其他专业服务等为重点，构建错位发展、优势互补、协作配套的现代服务业体系”；《中共中央关于进一步全面深化改革、</w:t>
      </w:r>
      <w:bookmarkStart w:id="0" w:name="_GoBack"/>
      <w:bookmarkEnd w:id="0"/>
      <w:r>
        <w:rPr>
          <w:rFonts w:hint="eastAsia" w:ascii="仿宋" w:hAnsi="仿宋" w:eastAsia="仿宋" w:cs="仿宋"/>
          <w:sz w:val="28"/>
          <w:szCs w:val="28"/>
          <w:lang w:val="en-US" w:eastAsia="zh-CN"/>
        </w:rPr>
        <w:t>推进中国式现代化的决定》明确提出，“完善发展服务业体制机制。完善支持服务业发展政策体系，优化服务化核算，推进服务业标准化建设。聚焦重点环节分领域推进生产性服务业高质量发展，发展产业互联网平台，破除跨地区经营行政壁垒，推进生产性服务业融合发展”。结合我市实际情况，特提出建议。</w:t>
      </w:r>
    </w:p>
    <w:p>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建议1、加大培育实施会展业品牌战略，坐稳会展业国际领先地位。</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xml:space="preserve">    补充说明：品牌是展览行业的核心竞争力。拥有品牌优势的展览会能够吸引更多的参展商和观众，提高自身的市场份额和影响力。建议文体局统筹谋划。</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xml:space="preserve">    建议2、制定出台相关招商引资政策，更好服务经济发展。</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xml:space="preserve">    补充说明：吸引全球知名展会、企业落户深圳；围绕“20+8”产业类展会，重点集中资源、集中精力打造培育一批深圳本土专业展会；加强国际宣传推介，提升深圳会展业国际知名度。</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xml:space="preserve">    建议3、加大加快“走出去”“引进来”的力度，拓展更多更好合作发展商机。</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xml:space="preserve">    补充说明：建议市区两级政府主管部门“走出去”“引进来”双向发力，带领企业走出去，大力拓展市外市场，鼓励企业追求多元化发展；积极支持引进来，招引更多优质会展项目、会展资源落户深圳。</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xml:space="preserve">    建议4、尽快制定促进会展消费类的具体政策，促进会展业健康快速发展。</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xml:space="preserve">    补充说明：建议由深圳市商务局、文体局统筹，考虑出台会展消费类政策，建议加大消费类展会，比如文化产业、礼品展、新能源汽车展、消费电子展、食品与饮料展、时尚与生活品质展、家居与家装展等活动的政策支持力度，进一步扩大会展消费。</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xml:space="preserve">    建议5、重新完善中小企业参展补贴政策，鼓励和促进中小企业健康快速成长。</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xml:space="preserve">    补充说明：建议深圳市工业和信息化局负责研究，一是将中小企业参展补贴措施纳入正在编制的新政策，新政策发布能快则快、应快尽快，以便民营及中小参展企业能早日享受补贴；二是扩大专项资金总额度，以便更多民营及中小参展企业能享受补贴。</w:t>
      </w:r>
      <w:r>
        <w:rPr>
          <w:rFonts w:hint="eastAsia" w:ascii="仿宋" w:hAnsi="仿宋" w:eastAsia="仿宋" w:cs="仿宋"/>
          <w:sz w:val="28"/>
          <w:szCs w:val="28"/>
          <w:lang w:val="en-US" w:eastAsia="zh-CN"/>
        </w:rPr>
        <w:br w:type="textWrapping"/>
      </w:r>
    </w:p>
    <w:p>
      <w:pPr>
        <w:spacing w:line="300" w:lineRule="auto"/>
        <w:jc w:val="left"/>
        <w:rPr>
          <w:rFonts w:hint="eastAsia" w:ascii="华文仿宋" w:hAnsi="华文仿宋" w:eastAsia="华文仿宋" w:cs="仿宋"/>
          <w:sz w:val="28"/>
          <w:szCs w:val="28"/>
        </w:rPr>
      </w:pPr>
    </w:p>
    <w:p>
      <w:pPr>
        <w:spacing w:line="300" w:lineRule="auto"/>
        <w:jc w:val="left"/>
        <w:rPr>
          <w:rFonts w:hint="eastAsia" w:ascii="华文仿宋" w:hAnsi="华文仿宋" w:eastAsia="华文仿宋" w:cs="仿宋"/>
          <w:sz w:val="28"/>
          <w:szCs w:val="28"/>
        </w:rPr>
      </w:pPr>
    </w:p>
    <w:p>
      <w:pPr>
        <w:spacing w:line="300" w:lineRule="auto"/>
        <w:jc w:val="left"/>
        <w:rPr>
          <w:rFonts w:hint="eastAsia" w:ascii="华文仿宋" w:hAnsi="华文仿宋" w:eastAsia="华文仿宋" w:cs="仿宋"/>
          <w:sz w:val="28"/>
          <w:szCs w:val="28"/>
        </w:rPr>
      </w:pPr>
    </w:p>
    <w:p>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267565"/>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0"/>
    <w:rPr>
      <w:kern w:val="2"/>
      <w:sz w:val="18"/>
      <w:szCs w:val="18"/>
    </w:rPr>
  </w:style>
  <w:style w:type="character" w:customStyle="1" w:styleId="8">
    <w:name w:val="页脚 字符"/>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43</TotalTime>
  <ScaleCrop>false</ScaleCrop>
  <LinksUpToDate>false</LinksUpToDate>
  <CharactersWithSpaces>156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网站运维（陈梓标）</cp:lastModifiedBy>
  <dcterms:modified xsi:type="dcterms:W3CDTF">2025-11-10T02:33:30Z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