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关于助力深圳企业出海的提案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张宗平</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20250248</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市委金融办,市人力资源和社会保障局,市委外办,市司法局,市贸促会,市前海管理局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深圳作为链接国内国际双循环的重要节点，本土企业凭借其强大的创新能力在国内市场取得巨大成就之后逐步将目光投向全球市场。全球新型市场国家快速发展带来的庞大消费升级需求，也为中国企业“出海”创造了许多新机遇。同时，由于贸易保护主义的抬头，部分国家和地区设置的高额关税壁垒、严格的技术和环保标准，又极大地增加了企业出海成本和合规难度，文化的差异也会导致企业在产品定位、营销策略上难以精准对接海外消费者需求，此外全球政治经济的不确定性，如汇率波动、地缘政治冲突等，也使得企业海外投资与市场拓展风险加剧。我市企业“出海”迫切需要政府进一步整合资源，完善政策体系，解决当前出海仍面临跨境金融支持不足、合规风险高、国际化人才短缺等各种挑战。</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建议1、强化生态协同，深化内外联动模式，为企业出海打造全链条商业环境。</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推动试点“深港沙特别合作区”，联合香港投资推广署、沙特主权基金共建中东市场孵化基地，提供法务、税务、宗教文化适配服务。二是推动“东盟-深圳技术转移中心”落地，聚焦新能源、数字经济领域，实现深圳技术输出与东盟市场需求的精准对接。三是打造“深圳制造海外展销中心”，在印尼、沙特等国家布局线下展示平台，3年内建成10个站点。四是建立“深港出海服务联盟”，联动香港投资推广署为企业提供离岸金融、国际仲裁等增值服务。</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建议2、做强人才支撑，打造国际化人才高地，为企业出海提供专业人才资源。</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设立“深圳出海人才认证计划”，联合本地龙头企业制定跨境运营、国际法务等人才标准，纳入市级补贴目录。二是在前海试点“外籍人才跨境执业便利化”，允许东盟国家会计师、律师等专业人才备案后直接在深服务出海企业。三是创建“国际人才飞地”，在前海试点允许东盟工程师、设计师以项目制跨境执业，服务期限最长3年，免征个人所得税。四是联合国际名校开设“深圳全球化领袖班”，定向培养跨国并购、国际标准制定等领域的战略型人才。</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建议3、夯实合规筑基，强化风险防控能力，为企业出海提供企业合规管理基础支撑。</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组建“跨境合规专家库”，为企业提供欧盟碳关税、美国《供应链安全法》等专项合规培训，每年覆盖1000家企业。二是开发“AI合规官”系统，自动识别欧盟碳关税、美国《供应链安全法》等合规风险，生成定制化整改方案。三是在“深i企”平台增设海外维权模块，一键对接国际仲裁机构及涉外律师资源。四是建立“跨境数字证据保全中心”，利用区块链技术实现深圳-新加坡电子证据互认，大幅降低跨国诉讼成本。</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建议4、强化金融护航，创新跨境资金支持工具，为企业出海提供金融风险对冲支持。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扩大科技保险补偿范围，将海外知识产权纠纷、数据安全风险纳入承保范畴，保费补贴比例提高至50%。二是开发“汇率波动AI对冲工具”，联动深交所数据资源为企业提供实时汇率预警和避险方案。三是建立“黑天鹅事件应急基金”，对因战争、制裁等突发风险受损企业提供最高500万元无息贷款。四是试点“地缘政治风险对冲基金”，对因大国博弈导致的海外资产冻结等损失，按实际损失30%给予补偿，单企业年度上限1000万元。</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建议5、强化政策赋能，构建“全链条”出海服务机制，为企业出海提供咨询和宣传服务。</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编制《深圳企业出海国别指南》，按RCEP、中东、非洲等区域细化产业准入、税收、劳工等政策，动态更新电子版；二是设立“出海政策AI解读平台”，通过人工智能匹配企业需求与政策条款，提供一键申报指引。 三是开发“文化敏感性AI检测工具”，自动识别广告、产品设计中的宗教与伦理冲突，适配中东、东南亚等多元市场。四是创建“深圳品牌出海中心”，整合全球KOL资源与海外社交媒体平台，提供品牌定位、内容营销、流量投放一站式服务。</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