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关于加速推动我市商文旅融合发展的建议</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致公党深圳市委会</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20250234</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分办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市商务局,市文化广电旅游体育局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近几年来，深圳加快建设具有全球重要影响力的消费中心和世界级旅游目的地，在商贸、文化、旅游发展取得了不俗的成绩，但面临来深旅游人数与旅游收入不成正比、消费对经济增长贡献不高、文化与商业旅游业融合程度较低、城市文旅消费影响力较弱等系列问题，迫切需要从更高视野、更大范围、更宽领域、更深层次加速推动商文旅融合发展。</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一、我市商文旅融合面临问题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（一）产业业态：老牌大型商文旅项目日渐式微，创新“吸睛”融合产品缺乏</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是世界之窗和欢乐谷等传统商文旅项目老化“失宠”，全球TOP25主题公园深圳未有上榜。随着迪士尼、环球影城等大IP支撑的主题公园在其他城市相继落地，我市以世界之窗和欢乐谷为代表的主题乐园因设施陈旧、品牌形象老化、运营创新不足，重磅引进的乐高乐园和华发冰雪世界仍处于建设中，对我市近两年文旅消费难以起到带动作用。</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表：2023年全球TOP25主题乐园中国上榜名单</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全球</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排名</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主题公园名称</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所在地</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2023年游客人数（万）</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2023年游客人数（万）</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增减幅度</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5</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上海迪士尼乐园</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上海</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1400</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530</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164.2%</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6</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长隆海洋王国</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珠海</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1252</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440</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184.5%</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15</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北京环球影城</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北京</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900</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430</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109.3%</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17</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香港迪士尼乐园</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香港</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640</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340</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88.2%</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21</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长隆欢乐世界</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广州</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558</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230</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142.6%</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24</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自贡方特恐龙王国</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自贡</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486</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175</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177.9%</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25</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绵阳方特东方神画</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绵阳</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462</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261</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76.9%</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数据来源：世界主题乐园权威研究机构美国主题娱乐协会与AECOM经济咨询团队联合发布《2023年主题公园和博物馆报告：全球主要景点游客报告》</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是作为科技之城，深圳文旅项目中的科技含量不足。目前无人机编队仅在春茧体育中心和深圳北中心公园进行常态化表演，未打造成爆点和标签。珠海长隆海洋王国、西安大唐芙蓉园等先一步将无人机编队表演作为日常演出项目。深圳在前沿数字技术发展中处于全国领先地位，但具有科技元素的示范性创新型商文旅项目较为缺乏。</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表 各城市运用科技元素打造商文旅项目</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类别</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科技元素商文旅项目</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大连</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熊洞街在旧厂房基础上利用大量高科技打造机械巨兽巨熊IP</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北京</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建立国内首个以工业设备设施再利用的国家科技旅游示范园区751园区</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山西</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建立国内首座省级文化旅游融合的数字化综合体验展馆，用最先进的数字技术再现了山西5000年文明历史</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珠海、西安</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珠海长隆海洋王国、西安大唐芙蓉园将无人机编队表演作为日常演出项目</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资料来源：政府网站</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三是商文旅消费业态同质化严重，新业态培育欠缺。例如，宝安区商圈中海雅缤纷城、大仟里、壹方城三个购物中心定位雷同，业态构成均以“百货购物+餐饮+休闲娱乐”为主。甘坑客家小镇、大芬油画村、观澜版画基地、大鹏所城、南头古城等旅游街区售卖产品同质化。</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（二）空间载体：空间融通不足，公共服务承载力有限</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是商文旅空间有待进一步融合改造。随着商业发展进入深水期，体验式商业成为主流，更加强调情感场景的营造，不断提供情感载体。据赢商大数据显示，2023年第一季度重点商场新开品牌门店业态分布中，文体娱仅占7%，商业综合体中的文体娱业态有待进一步增加。</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是现存商文旅空间步道割裂，文旅消费联动受阻。目前深圳旅游景区、公园绿道、大型公共文体设施商圈消费街区空间相对独立分散，缺乏步道或直达巴士串联，无法满足年轻人新城市微旅行城市漫步需求。例如，宝安滨海廊桥作为城市绿廊和慢行系统部分地下空间存在堵点，万象城商圈临近剧院、荔枝公园，但由于缺乏串联步道需通过地铁通道复杂绕行。</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（三）品牌推介：整合传播策略缺乏和社交平台传播力不足，制约城市商文旅形象“破圈出海”</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是我市综合商文旅形象特质没有充分挖掘。当前，我市旅游形象定位为“创意深圳、时尚之都”，无法充分体现“改革开放”“创新创业”“山海连城”等城市文化特质，“来深圳除了逛商场就是逛公园”等社会舆论形象尚未得到根本扭转。</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是立体化拓展城市旅游形象传播渠道匮乏。在中国各家权威机构发布的榜单中，前十名单中深圳无一上榜。例如，据中国城市海外短视频平台TikTok影响力榜单，北京以5.58亿次标签播放量位居第一位，上海为4.02亿次，深圳仅以5560万次播放量排名第6。</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建议1、聚焦城市品牌营销，挖掘商文旅共融新定位</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挖掘我市城市特质，打造差异化品牌定位。研究谋划我市综合涵盖改革开放、科技创新、“山海连城”、共享包容等特质的形象定位。通过工业设计、文旅产品订制、媒体宣传等综合手段，强化全球化表达、国际化传播、分众化推广，向世界讲好中国故事、演绎深圳精彩。二是创新营销传播方式方法。借鉴成都城市营销、上海澎湃新闻、深圳“深小卫”及各类新型自媒体的做法，创新营销内容和形式，用流量数据、“出圈”传播力、产业数据增量结果等方式来考核宣传部门（包括深圳广电、报业集团）的工作绩效。借鉴成都推出《出差注意手册》《倒计时3000年》等城市宣传做法，通过短视频、直播等方式创新叙事视角和推介路径，提升城市网络热度和旅游影响力。</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建议2、聚焦多层次载体空间融合，打造消费示范新空间</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一体化优化空间布局，高品质构筑融合地标群。重点推进深圳湾超级总部基地、前海片区、香蜜湖片区、罗湖笋岗片区商业空间中公共文化、体育空间的规划保障。深耕深圳城市文化，搭建购物中心示范微景区。重点学习北京芳草地文化艺术式购物中心，适度推广南山万象天地综合体验式模式。加速打通宝安滨海廊桥、笋岗片区、罗湖万象城片区等商文旅空间步道串联，进一步完善中部公园群“五园联通”的慢行系统。二是高标准建强软硬设施，促进空间品质提质跃级。借鉴数字故宫模式打造数字文化产品。学习上海经验，加速对新型演艺空间的布局和标准认定，支持在商业综合体、办公楼宇等拓展一批特色演艺空间，打造整体联动、各具特色的小剧场集群。</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建议3、聚焦发展资源互嵌，构筑商文旅消费新场景</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焕新一批老化旅游品牌，翻新高辨识度招牌项目。参照广州长隆欢乐世界改造升级成开放式主题乐园和商文旅综合体、南湖乐园升级改造成国内首个“元宇宙”主题公园、长安十二时辰主题街区等模式，积极推动锦绣中华、世界之窗、海上田园等大型主题乐园和景区转型升级。在莲花山公园、国贸大厦等改革开放地标打造一批元宇宙、数字孪生、虚实结合、赛博朋克、无人机表演等元素的创新项目。二谋划一批创新示范项目，倾力打造深圳世界级文旅地标。充分利用“全球最大的乐高乐园”和“全球最大的室内滑雪场”两大具有全球竞争力的IP资源，创新融入前沿科技特色提升互动性体验。积极借鉴西安、成都经验，引导博物馆、科技馆、文化馆等深圳十大公共文化设施打造沉浸式服务互动体验场景。</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