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28"/>
          <w:szCs w:val="28"/>
        </w:rPr>
      </w:pPr>
      <w:r>
        <w:rPr>
          <w:rFonts w:hint="eastAsia" w:ascii="黑体" w:hAnsi="黑体" w:eastAsia="黑体"/>
          <w:b/>
          <w:sz w:val="28"/>
          <w:szCs w:val="28"/>
        </w:rPr>
        <w:t>关于健全资源循环发展经济体系，促进我市城市矿产产业高质量发展的提案</w:t>
      </w:r>
    </w:p>
    <w:p>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农工党深圳市委会</w:t>
      </w:r>
    </w:p>
    <w:p>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20250166</w:t>
      </w:r>
    </w:p>
    <w:p>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市生态环境局,市发展和改革委员会,市工业和信息化局,市城市管理和综合执法局</w:t>
      </w:r>
    </w:p>
    <w:p>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城市矿产是指在工业化和城镇化过程中产生和蕴藏于废旧机电设备、电线电缆、通讯工具、汽车、家电、电子产品、金属和塑料包装物以及废料中，可循环利用的钢铁、有色金属、贵金属、塑料、橡胶等资源。2023年，深圳市再生资源回收总量为396万吨，备案的再生资源回收经营者超过1500家。根据《深圳市废旧物资循环利用体系建设实施方案（2023-2025年）》（下简称《方案》），到2025年，计划建成7个区级绿色分拣中心和78个回收中转站，全市社区回收网点覆盖率达100%，培育不少于10家废旧物资骨干企业，实现回收资源100%循环利用。</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2024年10月，习近平就组建中国资源循环集团有限公司作出重要指示强调，组建中国资源循环集团有限公司，是党中央着眼健全绿色低碳循环发展经济体系，全面推进美丽中国建设作出的重要决策部署。可见，建立城市矿产再生资源产业体系是全面贯彻绿色低碳高质量发展理念，加快形成新质生产力的重要一环。</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一、深圳市城市矿产开发利用方面存在的问题</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（一）资源循环利用产业体系有待健全</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1.本地资源化途径匮乏。深圳市从事再生资源综合利用企业数量少，绝大部分企业仅充当中转角色，且个体户和中小微企业占多数，年收集量100吨以上的仅占10%左右，经营模式主要是对废旧物资进行切割、拆解、粉碎以及分类打包后直接出售，处于产业链低端，除废旧塑料存在少量回收加工制再生颗粒的企业外，其他各类废旧物资几乎都借助市外的产能、技术与产业链配套来完成深度资源化加工。</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2.低值再生资源回收难驱动。传统高附加值的再生资源如废钢铁、废有色金属、废塑料、高等废纸等，基本形成了本地收运和外地综合利用产业链，但废玻璃、低等废纸等低价值品种，盈利空间小，企业回收意愿不大，导致大量此类资源随生活垃圾或工业固废进入焚烧或填埋环节。</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3.产业信息公开不足。一方面再生资源从投放、收集转运到最终处理的全过程信息不透明，居民及企业无法知道所投资源去向及处理方式，影响参与积极性；另一方面再生资源分拣加工、运输销售、信息化管理等方面存在诸多空白，缺乏产生量、回收量、处理量等统计数据，不利于政府科学规划与决策，也影响企业对市场的判断与投资。</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（二）资源循环利用行业监管亟待规范</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1.职责分工不健全。再生资源回收利用涉及商务局、城管局、生态环境局、市场监管局</w:t>
      </w:r>
      <w:bookmarkStart w:id="0" w:name="_GoBack"/>
      <w:bookmarkEnd w:id="0"/>
      <w:r>
        <w:rPr>
          <w:rFonts w:hint="eastAsia" w:ascii="仿宋" w:hAnsi="仿宋" w:eastAsia="仿宋" w:cs="仿宋"/>
          <w:sz w:val="28"/>
          <w:szCs w:val="28"/>
          <w:lang w:val="en-US" w:eastAsia="zh-CN"/>
        </w:rPr>
        <w:t>等多个部门，《深圳市再生资源回收管理办法》中各部门职责聚集于回收点和分拣场所等的管理，对再生资源从产生源头到最终无害化处置全过程监管职责未进行明确要求，最终去向落实的责任主体缺失，多头监管难以形成合力造成资源浪费。</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2.全过程监管不完善。一方面再生资源回收利用全过程监管体系尚未建立，生活源、工业源在产生源头分而治之，回收利用过程未采用有效手段跟踪和监管，底数不清、去向不明；另一方面再生资源循环利用细分领域标准覆盖不到位，例如二手商品和再生产品的质量控制、售后服务保障等无标准规范，造成二手或再生产品质量隐患。</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3.违规行为多发。废品回收从业者中还有大量的流动商贩和非正规回收企业，收盗结合、非法牟利、粗放拆解、处置混乱、“二次污染”等现象屡见不鲜，废旧动力电池的违规梯次利用更可能引起火灾威胁人民生命财产安全。</w:t>
      </w:r>
    </w:p>
    <w:p>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建议1、规范城市矿产循环利用行业监管</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1.明确职责分工。对《深圳市再生资源回收管理办法》进行修订，明确各部门在再生资源从产生源头到最终无害化处置全过程各环节的职责，确定再生资源最终去向落实的责任主体，补全城市矿产资源过程及最终去向监管空白。2.完善全过程监管。一是建立城市矿产全链条资源化“一盘棋”、全过程信息监管“一张网”的管理机制，利用物联网、大数据等技术手段，对生活源、工业源的再生资源产生、回收利用过程进行跟踪和监管；二是加快制定再生资源循环利用细分领域标准，包括二手商品质量控制、再生产品售后服务保障等标准；三是定期对再生资源循环利用过程中的环境风险、安全风险等进行评估，制定相应的风险防范方案。3.打击违规行为。一是重点整治回收网点“散乱污”问题，杜绝无证无照经营，严厉查处收盗结合、非法牟利、粗放拆解、处置混乱、“二次污染”等违法违规行为；二是建立联合执法机制，加强部门之间的沟通与协作，形成监管合力；三是加强宣传报道，提高居民和企业的环保意识，对违法行为形成舆论压力，震慑不法分子。</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建议2、推动产业集群发展，做好顶层设计</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补充说明：1.编制产业发展规划。《方案》计划年限为2025年，建议相关部门结合深圳市下一个五年计划，编制深圳市城市矿产产业发展总体规划，明确主要再生资源合理 的去向和利用路径、本地再生资源产业规模目标以及安全再生利用的保障措施等内容。2.挖潜本地产业建设。一是统筹谋划资源循环利用项目，培育和引进一批行业龙头企业，引导产业集聚化，重点培育扶持稀贵金属、废塑料等再生资源利用产业链；二是出台专项扶持政策，对从事深度资源化的企业给予资金补贴或政策支持，激励本地企业科技创新的投入；三是引导企业与科研机构合作，开展再生资源深度利用技术研发，积极引进国内外先进的资源化利用技术和工艺。3.提升低值再生资源回收驱动力。一方面政府对回收废玻璃、低等废纸等低值再生资源的企业给予最低保护价，降低回收风险；另一方面探索创新低值再生资源回收模式，利用物联网技术，实现回收信息的实时跟踪和管理，鼓励企业之间开展合作，共同投资建设先进的处理设施，分摊成本，提高回收效率。4.搭建公共信息服务平台。一方面加快再生资源回收网络、生活垃圾分类网络、工业固体废物收运网络等多网融合，实现资源的高效回收和利用；另一方面建立全口径的再生资源统计体系和全市统一的废弃物公共信息服务体系，涵盖城市矿产从投放、收集转运到处理的全过程信息，实现城市矿产的全品类、全链条、分级别动态追踪，做到投放者知去向、回收者知需求、监管者知动态。</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建议3、加快分拣中心建设，健全回收体系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分拣中心是连接城市矿产资源回收与再生利用的关键环节。建议市政府将《方案》计划建成的7个区级绿色分拣中心和78个回收中转站纳入2025年民生实事项目，确保《方案》目标的完成。同时，各相关部门加大支持力度辅助选址，做好宣传和社会稳定工作。</w:t>
      </w:r>
      <w:r>
        <w:rPr>
          <w:rFonts w:hint="eastAsia" w:ascii="仿宋" w:hAnsi="仿宋" w:eastAsia="仿宋" w:cs="仿宋"/>
          <w:sz w:val="28"/>
          <w:szCs w:val="28"/>
          <w:lang w:val="en-US" w:eastAsia="zh-CN"/>
        </w:rPr>
        <w:br w:type="textWrapping"/>
      </w:r>
    </w:p>
    <w:p>
      <w:pPr>
        <w:spacing w:line="300" w:lineRule="auto"/>
        <w:jc w:val="left"/>
        <w:rPr>
          <w:rFonts w:hint="eastAsia" w:ascii="华文仿宋" w:hAnsi="华文仿宋" w:eastAsia="华文仿宋" w:cs="仿宋"/>
          <w:sz w:val="28"/>
          <w:szCs w:val="28"/>
        </w:rPr>
      </w:pPr>
    </w:p>
    <w:p>
      <w:pPr>
        <w:spacing w:line="300" w:lineRule="auto"/>
        <w:jc w:val="left"/>
        <w:rPr>
          <w:rFonts w:hint="eastAsia" w:ascii="华文仿宋" w:hAnsi="华文仿宋" w:eastAsia="华文仿宋" w:cs="仿宋"/>
          <w:sz w:val="28"/>
          <w:szCs w:val="28"/>
        </w:rPr>
      </w:pPr>
    </w:p>
    <w:p>
      <w:pPr>
        <w:spacing w:line="300" w:lineRule="auto"/>
        <w:jc w:val="left"/>
        <w:rPr>
          <w:rFonts w:hint="eastAsia" w:ascii="华文仿宋" w:hAnsi="华文仿宋" w:eastAsia="华文仿宋" w:cs="仿宋"/>
          <w:sz w:val="28"/>
          <w:szCs w:val="28"/>
        </w:rPr>
      </w:pPr>
    </w:p>
    <w:p>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9E91DA1"/>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网站运维（陈梓标）</cp:lastModifiedBy>
  <dcterms:modified xsi:type="dcterms:W3CDTF">2025-11-07T02:48:01Z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