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关于以创新驱动，破局服务贸易发展困境的建议</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常远</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20250098</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国家金融监督管理总局深圳监管局,市教育局</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深圳，这座在中国改革开放进程中熠熠生辉的先锋城市，长期以来作为创新之都闻名遐迩，去年1-11月，外贸进出口总额4.1万亿元、同比增长17.4%。其中，进口1.5万亿元、增长19.8%；出口2.6万亿元、增长16%。</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然而，当今世界经济格局正经历着前所未有的深度调整，数字化浪潮以排山倒海之势席卷而来，在此大背景下，服务贸易已然跃升为衡量城市乃至国家竞争力的关键标尺。据世界贸易组织统计数据显示，全球服务贸易额近年来以年均约 5% 的速度扩张，在国际贸易中的占比逐步攀升，已接近 30%，且新兴数字化服务贸易业态增速更是远超传统贸易领域。反观深圳，尽管坐拥雄厚的科技创新实力，每年研究与试验发展投入占 GDP 比重高达 5% 以上，专利申请量连续多年位居全国前列；有着活跃的市场经济氛围，市场主体数量超过 300 万户，民营经济活力四射；还具备国际化的营商环境，吸引了超 300 家世界 500 强企业入驻，但在服务贸易领域，与国际先进城市相比，仍存在不小差距，尚未充分发挥自身潜能，亟待在创新服务贸易发展机制上率先突围，抢占全球服务贸易发展的新高地。</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建议1、助力企业应对国际规则挑战</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成立市级服务贸易国际规则研究中心，组织专家学者、行业协会、企业代表深入研究主要贸易伙伴国服务贸易政策法规，为企业提供预警信息、法律咨询与应对策略建议，帮助企业规避贸易风险，如针对欧盟数据保护法规变化提前指导跨境电商企业调整数据管理策略。</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建议2、创新金融服务模式</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鼓励金融机构开发针对服务贸易企业的专属金融产品，如基于企业服务合同、知识产权质押的融资产品，开展供应链金融服务，将核心企业信用延伸至上下游服务供应商，拓宽融资渠道。政府设立风险补偿基金，对金融机构服务贸易贷款坏账按一定比例补偿，降低放贷风险。</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建议3、构建多层次人才培养引进体系</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推动高校、职业院校与服务贸易龙头企业深度合作，共建实习实训基地，根据企业需求定制课程体系，开设金融科技应用、数字营销、国际知识产权运营等前沿专业，实现人才培养与产业需求无缝对接，每年定向输送一定数量专业人才。</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建议4、强化产业政策引导与扶持</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设立市级专项扶持资金，重点投向新兴服务贸易领域，对创新性强、发展潜力大的项目给予研发补贴、贷款贴息等支持，助力企业突破技术瓶颈，加速产品市场化进程。例如，对于开展跨境金融区块链服务创新试点的企业，按项目投入一定比例给予资金奖励。</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