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left"/>
        <w:textAlignment w:val="auto"/>
        <w:outlineLvl w:val="0"/>
        <w:rPr>
          <w:rStyle w:val="6"/>
          <w:rFonts w:hint="default" w:ascii="黑体" w:hAnsi="宋体" w:eastAsia="黑体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auto"/>
          <w:kern w:val="0"/>
          <w:sz w:val="11"/>
          <w:szCs w:val="1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center"/>
        <w:textAlignment w:val="auto"/>
        <w:outlineLvl w:val="0"/>
        <w:rPr>
          <w:rStyle w:val="6"/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名词定义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300" w:firstLineChars="150"/>
        <w:jc w:val="both"/>
        <w:textAlignment w:val="auto"/>
        <w:rPr>
          <w:rStyle w:val="6"/>
          <w:rFonts w:ascii="黑体" w:hAnsi="宋体" w:eastAsia="黑体" w:cs="宋体"/>
          <w:color w:val="auto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/>
          <w:i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  <w:t>参照商务部《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商务部关于印发</w:t>
      </w:r>
      <w:r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  <w:t>&lt;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展览业统计调查制度</w:t>
      </w:r>
      <w:r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  <w:t>&gt;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的通知</w:t>
      </w:r>
      <w:r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  <w:t>》（商服贸函〔2022〕48号），以</w:t>
      </w:r>
      <w:r>
        <w:rPr>
          <w:rStyle w:val="6"/>
          <w:rFonts w:hint="eastAsia" w:ascii="仿宋_GB2312" w:hAnsi="仿宋_GB2312" w:eastAsia="仿宋_GB2312" w:cs="仿宋_GB2312"/>
          <w:i w:val="0"/>
          <w:iCs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国家标准《经济贸易展览会术语GB/T26165-2021》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作为补充，结合业内实际加以界定。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Style w:val="6"/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展馆：</w:t>
      </w:r>
      <w:r>
        <w:rPr>
          <w:rStyle w:val="6"/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以举办展览活动为主要功能的永久性建筑物，其名称可以是会展中心、展览中心、博览中心、展览馆等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Style w:val="6"/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Style w:val="6"/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展览面积：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展览组织单位租赁并实际用于展览活动的场地（含室内外）面积，不包括单独租赁的会议室、办公区、仓储区面积。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Style w:val="6"/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3.展览净面积：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参展商根据参展合同有偿使用的展台面积总和，赠送展台、公共区域及主办方展台不在统计之列。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0" w:leftChars="0"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.特装展位：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由参展商在展览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光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地上自行设计并搭建的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特装展台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30" w:firstLineChars="196"/>
        <w:jc w:val="both"/>
        <w:textAlignment w:val="auto"/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iCs/>
          <w:color w:val="auto"/>
          <w:kern w:val="2"/>
          <w:sz w:val="32"/>
          <w:szCs w:val="32"/>
          <w:lang w:val="en-US" w:eastAsia="zh-CN" w:bidi="ar-SA"/>
        </w:rPr>
        <w:t>5.光地：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用于搭建特装展台的展览空地。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30" w:firstLineChars="196"/>
        <w:jc w:val="both"/>
        <w:textAlignment w:val="auto"/>
        <w:rPr>
          <w:rStyle w:val="6"/>
          <w:rFonts w:hint="eastAsia" w:ascii="仿宋_GB2312" w:hAnsi="仿宋_GB2312" w:eastAsia="仿宋_GB2312" w:cs="仿宋_GB2312"/>
          <w:b/>
          <w:i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iCs/>
          <w:color w:val="auto"/>
          <w:kern w:val="2"/>
          <w:sz w:val="32"/>
          <w:szCs w:val="32"/>
          <w:lang w:val="en-US" w:eastAsia="zh-CN" w:bidi="ar-SA"/>
        </w:rPr>
        <w:t>6.参展商：</w:t>
      </w:r>
      <w:r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  <w:t>签定参展合同，履行合同义务，拥有展台使用权，展示产品、技术和服务的组织。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Style w:val="6"/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7.国际</w:t>
      </w:r>
      <w:r>
        <w:rPr>
          <w:rStyle w:val="6"/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参展商：</w:t>
      </w:r>
      <w:r>
        <w:rPr>
          <w:rStyle w:val="6"/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注册地在中华人民共和国境外的参展</w:t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单位。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30" w:firstLineChars="196"/>
        <w:jc w:val="both"/>
        <w:textAlignment w:val="auto"/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iCs/>
          <w:color w:val="auto"/>
          <w:kern w:val="2"/>
          <w:sz w:val="32"/>
          <w:szCs w:val="32"/>
          <w:lang w:val="en-US" w:eastAsia="zh-CN" w:bidi="ar-SA"/>
        </w:rPr>
        <w:t>8.观众</w:t>
      </w:r>
      <w:r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  <w:t>：展览会展出期间，参观展览会的人员，不包括主办单位、场馆方、参展商和服务商工作人员。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iCs/>
          <w:color w:val="auto"/>
          <w:kern w:val="2"/>
          <w:sz w:val="32"/>
          <w:szCs w:val="32"/>
          <w:lang w:val="en-US" w:eastAsia="zh-CN" w:bidi="ar-SA"/>
        </w:rPr>
        <w:t>9.国际观众</w:t>
      </w:r>
      <w:r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  <w:t>：登记有效通讯地址或身份证件为中国境外的入场观众。</w:t>
      </w:r>
    </w:p>
    <w:p>
      <w:r>
        <w:rPr>
          <w:rStyle w:val="6"/>
          <w:rFonts w:hint="eastAsia" w:ascii="仿宋_GB2312" w:hAnsi="仿宋_GB2312" w:eastAsia="仿宋_GB2312" w:cs="仿宋_GB2312"/>
          <w:b/>
          <w:bCs/>
          <w:iCs/>
          <w:color w:val="auto"/>
          <w:kern w:val="2"/>
          <w:sz w:val="32"/>
          <w:szCs w:val="32"/>
          <w:lang w:val="en-US" w:eastAsia="zh-CN" w:bidi="ar-SA"/>
        </w:rPr>
        <w:t>10.展会结构垃圾：</w:t>
      </w:r>
      <w:r>
        <w:rPr>
          <w:rStyle w:val="6"/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  <w:t>在展会搭建和拆除过程中产生的废弃物，包括但不限于废旧展台、展板、搭建材料等。</w:t>
      </w:r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41529"/>
    <w:rsid w:val="38F41529"/>
    <w:rsid w:val="540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Normal Indent"/>
    <w:next w:val="4"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页脚_0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2025-09-25T06:46:00Z</dcterms:created>
  <dc:creator>网站运维（陈梓标）</dc:creator>
  <cp:lastModifiedBy>网站运维（陈梓标）</cp:lastModifiedBy>
  <dcterms:modified xsi:type="dcterms:W3CDTF">2025-09-25T06:47:09Z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