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全球智能机械与电子产品博览会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一、支持领域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落实省政府支持办好全球智能机械与电子产品博览会的部署要求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和市政府相关工作安排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,帮助企业参展抓订单、拓市场,制定本申报指南。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设定</w:t>
      </w:r>
      <w:r>
        <w:rPr>
          <w:rFonts w:hint="eastAsia" w:ascii="黑体" w:hAnsi="黑体" w:eastAsia="黑体"/>
          <w:sz w:val="32"/>
          <w:szCs w:val="32"/>
          <w:highlight w:val="none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（一）政策依据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lang w:val="en-US"/>
        </w:rPr>
        <w:t>相关政策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（二）管理依据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《深圳市市级财政专项资金管理办法》（深财工贸〔2025〕16号）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支持数量和资助方式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（一）支持数量</w:t>
      </w:r>
    </w:p>
    <w:p>
      <w:pPr>
        <w:keepNext w:val="0"/>
        <w:keepLines w:val="0"/>
        <w:pageBreakBefore w:val="0"/>
        <w:tabs>
          <w:tab w:val="left" w:pos="6261"/>
        </w:tabs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有数量限制，受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年度资金预算控制，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视申报情况和预算安排，我局对资助金额、支持比例和拨付进度等进行统一调整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以元为单位舍尾，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项目申请单位应无条件同意调整结果。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ascii="楷体_GB2312" w:hAnsi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（二）资助方式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事后资助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资助拨款按照申报材料中的银行账户信息办理。因申请单位名称变化、账户信息更改或填写错误等原因导致拨款不成功的，原则上予以办理一次拨款信息更改并再次拨款。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（三）预算管理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经受理审核，符合资助条件的项目纳入市商务发展专项资金预算项目库储备。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（一）基础条件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为在深圳市（含深汕特别合作区）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实际从事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活动的企业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未被国家、省、市有关部门列入严重失信主体名单实施失信惩戒，明确限制申请财政性资金项目，且在限制期内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近三年（2024年-2026年）不存在严重违法违规行为，未拖欠应缴还的财政性资金。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应承担资金真实申报、合规使用和有效管理；应对申报材料的真实性、合法性、完整性负责，应如实提供本单位信用状况，承担违约责任并作出承诺，不得弄虚作假、套取、骗取财政资金。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不存在以同一项目或同一费用重复或多头申报的情形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（二）专项条件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实际参加</w:t>
      </w:r>
      <w:r>
        <w:rPr>
          <w:rFonts w:hint="default" w:ascii="仿宋_GB2312" w:hAnsi="仿宋_GB2312" w:eastAsia="仿宋_GB2312"/>
          <w:sz w:val="32"/>
          <w:szCs w:val="32"/>
          <w:highlight w:val="none"/>
          <w:lang w:val="en-US" w:eastAsia="zh-CN"/>
        </w:rPr>
        <w:t>2025年全球智能机械与电子产品博览会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的参展企业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支持内容和支持标准</w:t>
      </w:r>
    </w:p>
    <w:p>
      <w:pPr>
        <w:spacing w:afterLines="0" w:line="560" w:lineRule="exact"/>
        <w:ind w:firstLine="630"/>
        <w:jc w:val="both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  <w:highlight w:val="none"/>
        </w:rPr>
        <w:t>（一）支持内容</w:t>
      </w:r>
    </w:p>
    <w:p>
      <w:pPr>
        <w:spacing w:afterLines="0" w:line="560" w:lineRule="exact"/>
        <w:ind w:firstLine="630"/>
        <w:jc w:val="both"/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帮助企业参展抓订单、拓市场，对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展企业按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发生的展位费给予资助。</w:t>
      </w:r>
    </w:p>
    <w:p>
      <w:pPr>
        <w:widowControl/>
        <w:shd w:val="clear" w:color="auto" w:fill="FFFFFF"/>
        <w:spacing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  <w:highlight w:val="none"/>
        </w:rPr>
        <w:t>（二）支持标准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符合条件的参展企业，按其实际发生的展位费用进行全额支持，每家企业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支持的展位面积不低于9㎡、不高于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00㎡，每家企业最高支持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230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六、申请材料</w:t>
      </w: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基础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登录广东政务服务网（http://www.gdzwfw.gov.cn/），在线填报申请书，提供通过该系统打印的申请书纸质文件原件。</w:t>
      </w:r>
    </w:p>
    <w:p>
      <w:pPr>
        <w:pStyle w:val="2"/>
        <w:tabs>
          <w:tab w:val="left" w:pos="562"/>
          <w:tab w:val="left" w:pos="3372"/>
          <w:tab w:val="left" w:pos="3653"/>
        </w:tabs>
        <w:spacing w:afterLines="0"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.营业执照；</w:t>
      </w: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专项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展位预订合同（注明展位数量和展位编号）；</w:t>
      </w: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展位费的银行付款凭证以及展位费发票；</w:t>
      </w: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展会主办方发布的参展企业名录及平面图（仅提供本企业所在页）；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展会成效一览表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展会现场拍摄的参展企业展位照片及视频。照片需包含申报单位的企业名称和展位号信息（如展位照片为企业境外商标名称，需提供商标注册文件等证明材料）；视频需完整包含展位实景、展位楣板信息（双开、三开展位需包含正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及所有侧面楣板）、展位号、展品、参展人员、展位周边情况。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以上材料均需加盖申报单位公章，多页的还需加盖骑缝公章；涉及外文的，需提供中文翻译件；一式两份，A4纸正反面打印/复印，非空白页（含封面）需连续编写页码，装订成册（胶装）。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展会视频按“企业名称”分别命名并汇总存放U盘，由申报主体与纸质材料一并提交。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、申请表格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本指南第六条（一）规定登录广东政务服务网在线填报申请书，网址：http://www.gdzwfw.gov.cn/。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afterLines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default" w:ascii="黑体" w:hAnsi="黑体" w:eastAsia="黑体" w:cs="宋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申请受理机关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（一）受理机关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深圳市商务局。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（二）受理时间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1.网络填报时间：2026年（具体时间待定）。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2.材料提交时间：2026年（具体时间待定）。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申报单位在上述规定时间内在线填报、提交材料，逾期不予受理。（注意事项：网络填报时间截止后系统将不再受理新申请，故请预留充足时间进行修改）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（三）受理地点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福田区福中三路市民中心B区市政务服务中心西厅综合窗口。（注：为提交工作效率，到深圳市政务服务中心提交材料需提前预约。预约指南：“i深圳”APP，操作流程：【办事预约】—【深圳市】—【深圳市政务服务中心-西厅】—【在线预约】请按照预约时段，错峰提交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0755--88107015（工作日上午9:00-12:00，下午2:00-6:00）。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、申请决定机关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深圳市商务局。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市商务局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指南——申请单位网上申报——初审——申请单位向市行政服务大厅收文窗口提交申请材料——形式审查——资质审查——专项审计——征求相关单位意见（根据需要核查比对：资质情况，有无重大违法违规行为，有无被国家、省、市相关部门纳入严重失信主体名单实施失信惩戒，有无以同一事项重复或多头申报市级专项资金，市、区同一资助项目合计是否超过项目实际投入等情况）——核定拟资助计划——社会公示——下达资助计划——申请人提交拨付资料——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集中申报，成批处理。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、证件及有效期限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证件：无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有效期限：无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、证件的法律效力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、年审或年检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pacing w:afterLines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监督检查和补充说明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（一）市商务局从未委托任何单位和个人为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代理专项资金扶持计划项目申报事宜，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应自主申报。我局严格按照有关规定和程序受理申请，不收取任何费用。如有任何中介机构和个人假借我局或工作人员名义向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收取费用的，请向我局举报。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举报电话：88107090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contextualSpacing/>
        <w:jc w:val="both"/>
        <w:textAlignment w:val="auto"/>
        <w:outlineLvl w:val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（二）获得资金支持的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，应当按照国家有关财务制度规定进行管理和使用，按照国家统一的会计制度进行会计核算，并自觉接受财政、商务、审计等部门的监督检查。配合商务部门开展业务、资金统计监测，妥善保管项目申报材料。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contextualSpacing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部门收回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contextualSpacing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eastAsia="仿宋_GB2312"/>
          <w:sz w:val="32"/>
          <w:szCs w:val="32"/>
          <w:highlight w:val="none"/>
        </w:rPr>
        <w:t>在项目申报期间发生企业名称、联系信息变更的，应及时联系并提供变更材料，如因未及时变更产生的后果由企业自行承担。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（五）资助拨款按照申请书银行账户信息办理。因账户信息更改或企业填写错误等原因导致拨付不成功的，原则上予以办理一次拨款信息更改并再次拨付。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应按照要求办理资金拨付手续。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附件：展会成效一览表</w:t>
      </w:r>
    </w:p>
    <w:p>
      <w:pPr>
        <w:pStyle w:val="10"/>
        <w:spacing w:afterLines="0" w:line="560" w:lineRule="exact"/>
        <w:ind w:firstLine="0" w:firstLineChars="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件</w:t>
      </w:r>
      <w:bookmarkStart w:id="0" w:name="_GoBack"/>
      <w:bookmarkEnd w:id="0"/>
    </w:p>
    <w:p>
      <w:pPr>
        <w:pStyle w:val="10"/>
        <w:spacing w:afterLines="0" w:line="560" w:lineRule="exact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N/>
        <w:bidi w:val="0"/>
        <w:spacing w:after="0" w:line="560" w:lineRule="exact"/>
        <w:jc w:val="center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/>
          <w:b/>
          <w:bCs/>
          <w:sz w:val="42"/>
          <w:szCs w:val="42"/>
        </w:rPr>
        <w:t>展会成效一览</w:t>
      </w:r>
      <w:r>
        <w:rPr>
          <w:rFonts w:hint="eastAsia" w:cs="宋体"/>
          <w:b/>
          <w:bCs/>
          <w:sz w:val="42"/>
          <w:szCs w:val="42"/>
        </w:rPr>
        <w:t>表</w:t>
      </w:r>
    </w:p>
    <w:tbl>
      <w:tblPr>
        <w:tblStyle w:val="8"/>
        <w:tblW w:w="53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50"/>
        <w:gridCol w:w="1038"/>
        <w:gridCol w:w="2050"/>
        <w:gridCol w:w="912"/>
        <w:gridCol w:w="1950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单位名称：xx公司（加盖公章）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参展情况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展会名称</w:t>
            </w:r>
          </w:p>
        </w:tc>
        <w:tc>
          <w:tcPr>
            <w:tcW w:w="8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接待专业观众数量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1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12"/>
                <w:rFonts w:hint="default"/>
                <w:sz w:val="24"/>
                <w:szCs w:val="24"/>
              </w:rPr>
              <w:t>家</w:t>
            </w:r>
            <w:r>
              <w:rPr>
                <w:rStyle w:val="11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2"/>
                <w:rFonts w:hint="default"/>
                <w:sz w:val="24"/>
                <w:szCs w:val="24"/>
              </w:rPr>
              <w:t>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专业观众国别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请罗列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展会成交情况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1.成交订单总数量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2"/>
                <w:rFonts w:hint="default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（包括展后成交）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样品订单数量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意向订单数量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贸易订单数量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2.成交总金额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12"/>
                <w:rFonts w:hint="default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（包括展后成交）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样品订单成交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意向成交金额（元）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贸易订单成交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eastAsia="宋体"/>
          <w:b/>
          <w:bCs/>
          <w:kern w:val="0"/>
        </w:rPr>
      </w:pPr>
      <w:r>
        <w:rPr>
          <w:rFonts w:hint="eastAsia" w:eastAsia="宋体"/>
          <w:b/>
          <w:bCs/>
          <w:kern w:val="0"/>
        </w:rPr>
        <w:t xml:space="preserve"> 说明：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hint="eastAsia" w:eastAsia="宋体"/>
          <w:kern w:val="0"/>
        </w:rPr>
      </w:pPr>
      <w:r>
        <w:rPr>
          <w:rFonts w:hint="eastAsia" w:eastAsia="宋体"/>
          <w:kern w:val="0"/>
        </w:rPr>
        <w:t>1.成交订单是指通过参加境外展会获取的订单，包括现场样品订单、通过邮件等方式收到的意向订单和签署正式合同的贸易订单。</w:t>
      </w:r>
    </w:p>
    <w:p>
      <w:pPr>
        <w:pStyle w:val="13"/>
        <w:autoSpaceDE w:val="0"/>
        <w:spacing w:line="240" w:lineRule="atLeast"/>
        <w:ind w:firstLine="56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>2.</w:t>
      </w:r>
      <w:r>
        <w:rPr>
          <w:rFonts w:hint="eastAsia" w:ascii="宋体" w:hAnsi="宋体" w:eastAsia="宋体"/>
          <w:kern w:val="0"/>
          <w:sz w:val="24"/>
          <w:szCs w:val="24"/>
        </w:rPr>
        <w:t>获取订单的时间不限于展会期间，统计截至网络提交申报材料之日</w:t>
      </w:r>
      <w:r>
        <w:rPr>
          <w:rFonts w:hint="eastAsia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565B8"/>
    <w:multiLevelType w:val="singleLevel"/>
    <w:tmpl w:val="AD0565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5B1218"/>
    <w:multiLevelType w:val="multilevel"/>
    <w:tmpl w:val="705B1218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F494E"/>
    <w:rsid w:val="0C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  <w:rPr>
      <w:rFonts w:ascii="Times New Roman" w:hAnsi="Times New Roman" w:eastAsia="宋体" w:cs="Times New Roman"/>
      <w:sz w:val="3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Plain Text"/>
    <w:basedOn w:val="5"/>
    <w:uiPriority w:val="0"/>
    <w:rPr>
      <w:rFonts w:ascii="等线" w:hAnsi="Courier New" w:cs="Courier New"/>
    </w:r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character" w:customStyle="1" w:styleId="11">
    <w:name w:val="16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single"/>
    </w:rPr>
  </w:style>
  <w:style w:type="character" w:customStyle="1" w:styleId="12">
    <w:name w:val="15"/>
    <w:basedOn w:val="9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13">
    <w:name w:val="正文首行缩进 21"/>
    <w:basedOn w:val="3"/>
    <w:qFormat/>
    <w:uiPriority w:val="0"/>
    <w:pPr>
      <w:spacing w:before="100" w:beforeAutospacing="1" w:after="0" w:line="380" w:lineRule="exact"/>
      <w:ind w:left="0" w:leftChars="0" w:firstLine="420" w:firstLineChars="200"/>
    </w:pPr>
    <w:rPr>
      <w:rFonts w:ascii="宋体" w:hAnsi="宋体"/>
      <w:spacing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2025-08-13T06:23:00Z</dcterms:created>
  <dc:creator>网站运维（陈梓标）</dc:creator>
  <cp:lastModifiedBy>网站运维（陈梓标）</cp:lastModifiedBy>
  <dcterms:modified xsi:type="dcterms:W3CDTF">2025-08-13T06:24:37Z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