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ascii="仿宋_GB2312" w:eastAsia="仿宋_GB2312"/>
          <w:sz w:val="32"/>
          <w:szCs w:val="32"/>
        </w:rPr>
      </w:pPr>
      <w:r>
        <w:rPr>
          <w:rFonts w:hint="eastAsia"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仿宋_GB2312" w:hAnsi="仿宋_GB2312" w:eastAsia="仿宋_GB2312" w:cs="仿宋_GB2312"/>
          <w:sz w:val="32"/>
          <w:szCs w:val="32"/>
          <w:lang w:val="en-US" w:eastAsia="zh-CN"/>
        </w:rPr>
      </w:pPr>
      <w:bookmarkStart w:id="0" w:name="zhengwen"/>
      <w:bookmarkEnd w:id="0"/>
    </w:p>
    <w:p>
      <w:pPr>
        <w:keepNext w:val="0"/>
        <w:keepLines w:val="0"/>
        <w:pageBreakBefore w:val="0"/>
        <w:widowControl w:val="0"/>
        <w:tabs>
          <w:tab w:val="left" w:pos="1843"/>
        </w:tabs>
        <w:kinsoku/>
        <w:wordWrap/>
        <w:overflowPunct/>
        <w:topLinePunct w:val="0"/>
        <w:autoSpaceDE/>
        <w:autoSpaceDN/>
        <w:bidi w:val="0"/>
        <w:adjustRightInd/>
        <w:snapToGrid/>
        <w:spacing w:line="560" w:lineRule="exact"/>
        <w:jc w:val="right"/>
        <w:textAlignment w:val="auto"/>
        <w:rPr>
          <w:rFonts w:hint="eastAsia" w:ascii="仿宋_GB2312" w:hAnsi="Calibri" w:eastAsia="仿宋_GB2312" w:cs="Times New Roman"/>
          <w:sz w:val="32"/>
          <w:szCs w:val="32"/>
        </w:rPr>
      </w:pPr>
      <w:r>
        <w:rPr>
          <w:rFonts w:hint="eastAsia" w:ascii="仿宋_GB2312" w:eastAsia="仿宋_GB2312" w:cs="Times New Roman"/>
          <w:sz w:val="32"/>
          <w:szCs w:val="32"/>
          <w:lang w:val="en-US" w:eastAsia="zh-CN"/>
        </w:rPr>
        <w:t>A</w:t>
      </w:r>
      <w:r>
        <w:rPr>
          <w:rFonts w:hint="eastAsia" w:ascii="仿宋_GB2312" w:hAnsi="Calibri" w:eastAsia="仿宋_GB2312" w:cs="Times New Roman"/>
          <w:sz w:val="32"/>
          <w:szCs w:val="32"/>
        </w:rPr>
        <w:t>类</w:t>
      </w:r>
    </w:p>
    <w:p>
      <w:pPr>
        <w:keepNext w:val="0"/>
        <w:keepLines w:val="0"/>
        <w:pageBreakBefore w:val="0"/>
        <w:widowControl w:val="0"/>
        <w:tabs>
          <w:tab w:val="left" w:pos="1843"/>
        </w:tabs>
        <w:kinsoku/>
        <w:wordWrap/>
        <w:overflowPunct/>
        <w:topLinePunct w:val="0"/>
        <w:autoSpaceDE/>
        <w:autoSpaceDN/>
        <w:bidi w:val="0"/>
        <w:adjustRightInd/>
        <w:snapToGrid/>
        <w:spacing w:line="4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深圳市商务局关于对市政协七届四次会议</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第20240326号提案答复意见的函</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textAlignment w:val="auto"/>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hint="eastAsia" w:ascii="仿宋_GB2312" w:eastAsia="仿宋_GB2312"/>
          <w:sz w:val="32"/>
          <w:szCs w:val="32"/>
        </w:rPr>
        <w:t>民盟深圳市委会：</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firstLine="645"/>
        <w:textAlignment w:val="auto"/>
        <w:rPr>
          <w:rFonts w:ascii="仿宋_GB2312" w:eastAsia="仿宋_GB2312"/>
          <w:sz w:val="32"/>
          <w:szCs w:val="32"/>
        </w:rPr>
      </w:pPr>
      <w:r>
        <w:rPr>
          <w:rFonts w:hint="eastAsia" w:ascii="仿宋_GB2312" w:eastAsia="仿宋_GB2312"/>
          <w:sz w:val="32"/>
          <w:szCs w:val="32"/>
          <w:lang w:eastAsia="zh-CN"/>
        </w:rPr>
        <w:t>贵单位</w:t>
      </w:r>
      <w:r>
        <w:rPr>
          <w:rFonts w:hint="eastAsia" w:ascii="仿宋_GB2312" w:eastAsia="仿宋_GB2312"/>
          <w:sz w:val="32"/>
          <w:szCs w:val="32"/>
        </w:rPr>
        <w:t>在市政协七届四次会议上的《关于成立海外产业服务中心助力我市产业全球化布局的建议》收悉</w:t>
      </w:r>
      <w:r>
        <w:rPr>
          <w:rFonts w:hint="default" w:ascii="仿宋_GB2312" w:eastAsia="仿宋_GB2312"/>
          <w:sz w:val="32"/>
          <w:szCs w:val="32"/>
        </w:rPr>
        <w:t>。</w:t>
      </w:r>
      <w:r>
        <w:rPr>
          <w:rFonts w:hint="eastAsia" w:ascii="仿宋_GB2312" w:hAnsi="仿宋_GB2312" w:eastAsia="仿宋_GB2312" w:cs="仿宋_GB2312"/>
          <w:color w:val="000000"/>
          <w:sz w:val="32"/>
          <w:szCs w:val="32"/>
        </w:rPr>
        <w:t>经认真研究</w:t>
      </w:r>
      <w:r>
        <w:rPr>
          <w:rFonts w:hint="default"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并汇总各有关单位办理意见</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现就提案答复如下</w:t>
      </w:r>
      <w:r>
        <w:rPr>
          <w:rFonts w:hint="eastAsia" w:ascii="仿宋_GB2312" w:eastAsia="仿宋_GB2312"/>
          <w:sz w:val="32"/>
          <w:szCs w:val="32"/>
        </w:rPr>
        <w:t>：</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一、</w:t>
      </w:r>
      <w:r>
        <w:rPr>
          <w:rFonts w:hint="default" w:ascii="黑体" w:hAnsi="黑体" w:eastAsia="黑体"/>
          <w:sz w:val="32"/>
          <w:szCs w:val="32"/>
        </w:rPr>
        <w:t>关于</w:t>
      </w:r>
      <w:r>
        <w:rPr>
          <w:rFonts w:hint="eastAsia" w:ascii="黑体" w:hAnsi="黑体" w:eastAsia="黑体"/>
          <w:sz w:val="32"/>
          <w:szCs w:val="32"/>
        </w:rPr>
        <w:t>“完善</w:t>
      </w:r>
      <w:r>
        <w:rPr>
          <w:rFonts w:hint="eastAsia" w:ascii="黑体" w:hAnsi="黑体" w:eastAsia="黑体"/>
          <w:sz w:val="32"/>
          <w:szCs w:val="32"/>
          <w:lang w:eastAsia="zh-CN"/>
        </w:rPr>
        <w:t>‘</w:t>
      </w:r>
      <w:r>
        <w:rPr>
          <w:rFonts w:hint="eastAsia" w:ascii="黑体" w:hAnsi="黑体" w:eastAsia="黑体"/>
          <w:sz w:val="32"/>
          <w:szCs w:val="32"/>
        </w:rPr>
        <w:t>走出去</w:t>
      </w:r>
      <w:r>
        <w:rPr>
          <w:rFonts w:hint="eastAsia" w:ascii="黑体" w:hAnsi="黑体" w:eastAsia="黑体"/>
          <w:sz w:val="32"/>
          <w:szCs w:val="32"/>
          <w:lang w:eastAsia="zh-CN"/>
        </w:rPr>
        <w:t>’</w:t>
      </w:r>
      <w:r>
        <w:rPr>
          <w:rFonts w:hint="eastAsia" w:ascii="黑体" w:hAnsi="黑体" w:eastAsia="黑体"/>
          <w:sz w:val="32"/>
          <w:szCs w:val="32"/>
        </w:rPr>
        <w:t>法律支持体系”建议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tabs>
          <w:tab w:val="left" w:pos="1843"/>
        </w:tabs>
        <w:spacing w:before="0" w:beforeAutospacing="0" w:after="48" w:afterAutospacing="0" w:line="560" w:lineRule="exact"/>
        <w:ind w:left="0" w:right="0" w:firstLine="640" w:firstLineChars="200"/>
        <w:rPr>
          <w:rFonts w:hint="eastAsia" w:ascii="仿宋_GB2312" w:hAnsi="仿宋_GB2312" w:eastAsia="仿宋_GB2312" w:cs="仿宋_GB2312"/>
          <w:caps w:val="0"/>
          <w:color w:val="000000"/>
          <w:spacing w:val="0"/>
          <w:sz w:val="32"/>
          <w:szCs w:val="32"/>
          <w:u w:val="none"/>
          <w:lang w:eastAsia="zh-CN"/>
        </w:rPr>
      </w:pPr>
      <w:r>
        <w:rPr>
          <w:rFonts w:hint="default" w:ascii="仿宋_GB2312" w:hAnsi="Calibri" w:eastAsia="仿宋_GB2312" w:cs="Times New Roman"/>
          <w:i w:val="0"/>
          <w:iCs w:val="0"/>
          <w:caps w:val="0"/>
          <w:color w:val="auto"/>
          <w:spacing w:val="0"/>
          <w:sz w:val="32"/>
          <w:szCs w:val="32"/>
          <w:shd w:val="clear" w:fill="auto"/>
        </w:rPr>
        <w:t>近年来</w:t>
      </w:r>
      <w:r>
        <w:rPr>
          <w:rFonts w:hint="default" w:ascii="仿宋_GB2312" w:hAnsi="Calibri" w:eastAsia="仿宋_GB2312" w:cs="Times New Roman"/>
          <w:i w:val="0"/>
          <w:iCs w:val="0"/>
          <w:caps w:val="0"/>
          <w:spacing w:val="0"/>
          <w:sz w:val="32"/>
          <w:szCs w:val="32"/>
          <w:shd w:val="clear"/>
          <w:lang w:eastAsia="zh-CN"/>
        </w:rPr>
        <w:t>，深圳市</w:t>
      </w:r>
      <w:r>
        <w:rPr>
          <w:rFonts w:hint="eastAsia" w:ascii="仿宋_GB2312" w:eastAsia="仿宋_GB2312" w:cs="Times New Roman"/>
          <w:i w:val="0"/>
          <w:iCs w:val="0"/>
          <w:caps w:val="0"/>
          <w:spacing w:val="0"/>
          <w:sz w:val="32"/>
          <w:szCs w:val="32"/>
          <w:shd w:val="clear"/>
          <w:lang w:eastAsia="zh-CN"/>
        </w:rPr>
        <w:t>着力</w:t>
      </w:r>
      <w:r>
        <w:rPr>
          <w:rFonts w:hint="default" w:ascii="仿宋_GB2312" w:hAnsi="Calibri" w:eastAsia="仿宋_GB2312" w:cs="Times New Roman"/>
          <w:i w:val="0"/>
          <w:iCs w:val="0"/>
          <w:caps w:val="0"/>
          <w:spacing w:val="0"/>
          <w:sz w:val="32"/>
          <w:szCs w:val="32"/>
          <w:shd w:val="clear"/>
          <w:lang w:eastAsia="zh-CN"/>
        </w:rPr>
        <w:t>提升</w:t>
      </w:r>
      <w:r>
        <w:rPr>
          <w:rFonts w:ascii="仿宋_GB2312" w:hAnsi="Calibri" w:eastAsia="仿宋_GB2312" w:cs="Times New Roman"/>
          <w:i w:val="0"/>
          <w:iCs w:val="0"/>
          <w:caps w:val="0"/>
          <w:spacing w:val="0"/>
          <w:sz w:val="32"/>
          <w:szCs w:val="32"/>
          <w:shd w:val="clear"/>
        </w:rPr>
        <w:t>商事法律服务效能</w:t>
      </w:r>
      <w:r>
        <w:rPr>
          <w:rFonts w:hint="default" w:ascii="仿宋_GB2312" w:hAnsi="Calibri" w:eastAsia="仿宋_GB2312" w:cs="Times New Roman"/>
          <w:i w:val="0"/>
          <w:iCs w:val="0"/>
          <w:caps w:val="0"/>
          <w:spacing w:val="0"/>
          <w:sz w:val="32"/>
          <w:szCs w:val="32"/>
          <w:shd w:val="clear"/>
          <w:lang w:eastAsia="zh-CN"/>
        </w:rPr>
        <w:t>，</w:t>
      </w:r>
      <w:r>
        <w:rPr>
          <w:rFonts w:hint="default" w:ascii="仿宋_GB2312" w:eastAsia="仿宋_GB2312" w:cs="Times New Roman"/>
          <w:i w:val="0"/>
          <w:iCs w:val="0"/>
          <w:caps w:val="0"/>
          <w:spacing w:val="0"/>
          <w:sz w:val="32"/>
          <w:szCs w:val="32"/>
          <w:lang w:eastAsia="zh-CN"/>
        </w:rPr>
        <w:t>努力</w:t>
      </w:r>
      <w:r>
        <w:rPr>
          <w:rFonts w:hint="default" w:ascii="仿宋_GB2312" w:hAnsi="Calibri" w:eastAsia="仿宋_GB2312" w:cs="Times New Roman"/>
          <w:i w:val="0"/>
          <w:iCs w:val="0"/>
          <w:caps w:val="0"/>
          <w:spacing w:val="0"/>
          <w:sz w:val="32"/>
          <w:szCs w:val="32"/>
        </w:rPr>
        <w:t>为</w:t>
      </w:r>
      <w:r>
        <w:rPr>
          <w:rFonts w:hint="default" w:ascii="仿宋_GB2312" w:eastAsia="仿宋_GB2312" w:cs="Times New Roman"/>
          <w:sz w:val="32"/>
          <w:szCs w:val="32"/>
        </w:rPr>
        <w:t>企业</w:t>
      </w:r>
      <w:r>
        <w:rPr>
          <w:rFonts w:hint="eastAsia" w:ascii="仿宋_GB2312" w:eastAsia="仿宋_GB2312" w:cs="Times New Roman"/>
          <w:sz w:val="32"/>
          <w:szCs w:val="32"/>
          <w:lang w:eastAsia="zh-CN"/>
        </w:rPr>
        <w:t>“</w:t>
      </w:r>
      <w:r>
        <w:rPr>
          <w:rFonts w:hint="default" w:ascii="仿宋_GB2312" w:eastAsia="仿宋_GB2312" w:cs="Times New Roman"/>
          <w:sz w:val="32"/>
          <w:szCs w:val="32"/>
        </w:rPr>
        <w:t>走出去</w:t>
      </w:r>
      <w:r>
        <w:rPr>
          <w:rFonts w:hint="eastAsia" w:ascii="仿宋_GB2312" w:eastAsia="仿宋_GB2312" w:cs="Times New Roman"/>
          <w:sz w:val="32"/>
          <w:szCs w:val="32"/>
          <w:lang w:eastAsia="zh-CN"/>
        </w:rPr>
        <w:t>”</w:t>
      </w:r>
      <w:r>
        <w:rPr>
          <w:rFonts w:hint="default" w:ascii="仿宋_GB2312" w:hAnsi="Calibri" w:eastAsia="仿宋_GB2312" w:cs="Times New Roman"/>
          <w:i w:val="0"/>
          <w:iCs w:val="0"/>
          <w:caps w:val="0"/>
          <w:spacing w:val="0"/>
          <w:sz w:val="32"/>
          <w:szCs w:val="32"/>
        </w:rPr>
        <w:t>提供有力</w:t>
      </w:r>
      <w:r>
        <w:rPr>
          <w:rFonts w:hint="default" w:ascii="仿宋_GB2312" w:hAnsi="Calibri" w:eastAsia="仿宋_GB2312" w:cs="Times New Roman"/>
          <w:i w:val="0"/>
          <w:iCs w:val="0"/>
          <w:caps w:val="0"/>
          <w:spacing w:val="0"/>
          <w:sz w:val="32"/>
          <w:szCs w:val="32"/>
          <w:lang w:eastAsia="zh-CN"/>
        </w:rPr>
        <w:t>法治</w:t>
      </w:r>
      <w:r>
        <w:rPr>
          <w:rFonts w:hint="default" w:ascii="仿宋_GB2312" w:hAnsi="Calibri" w:eastAsia="仿宋_GB2312" w:cs="Times New Roman"/>
          <w:i w:val="0"/>
          <w:iCs w:val="0"/>
          <w:caps w:val="0"/>
          <w:spacing w:val="0"/>
          <w:sz w:val="32"/>
          <w:szCs w:val="32"/>
        </w:rPr>
        <w:t>保障</w:t>
      </w:r>
      <w:r>
        <w:rPr>
          <w:rFonts w:hint="eastAsia" w:ascii="仿宋_GB2312" w:eastAsia="仿宋_GB2312" w:cs="Times New Roman"/>
          <w:i w:val="0"/>
          <w:iCs w:val="0"/>
          <w:caps w:val="0"/>
          <w:spacing w:val="0"/>
          <w:sz w:val="32"/>
          <w:szCs w:val="32"/>
          <w:lang w:eastAsia="zh-CN"/>
        </w:rPr>
        <w:t>。</w:t>
      </w:r>
      <w:r>
        <w:rPr>
          <w:rFonts w:hint="eastAsia" w:ascii="仿宋_GB2312" w:hAnsi="仿宋_GB2312" w:eastAsia="仿宋_GB2312" w:cs="仿宋_GB2312"/>
          <w:b/>
          <w:bCs/>
          <w:i w:val="0"/>
          <w:iCs w:val="0"/>
          <w:caps w:val="0"/>
          <w:color w:val="000000"/>
          <w:spacing w:val="0"/>
          <w:sz w:val="32"/>
          <w:szCs w:val="32"/>
          <w:shd w:val="clear"/>
          <w:lang w:eastAsia="zh-CN"/>
        </w:rPr>
        <w:t>一是</w:t>
      </w:r>
      <w:r>
        <w:rPr>
          <w:rFonts w:hint="eastAsia" w:ascii="仿宋_GB2312" w:hAnsi="仿宋_GB2312" w:eastAsia="仿宋_GB2312" w:cs="仿宋_GB2312"/>
          <w:b/>
          <w:bCs/>
          <w:i w:val="0"/>
          <w:iCs w:val="0"/>
          <w:caps w:val="0"/>
          <w:color w:val="000000"/>
          <w:spacing w:val="0"/>
          <w:sz w:val="32"/>
          <w:szCs w:val="32"/>
          <w:shd w:val="clear"/>
        </w:rPr>
        <w:t>提供国际化经营合规服务</w:t>
      </w:r>
      <w:r>
        <w:rPr>
          <w:rFonts w:hint="eastAsia" w:ascii="仿宋_GB2312" w:hAnsi="仿宋_GB2312" w:eastAsia="仿宋_GB2312" w:cs="仿宋_GB2312"/>
          <w:b/>
          <w:bCs/>
          <w:i w:val="0"/>
          <w:iCs w:val="0"/>
          <w:caps w:val="0"/>
          <w:color w:val="000000"/>
          <w:spacing w:val="0"/>
          <w:sz w:val="32"/>
          <w:szCs w:val="32"/>
          <w:shd w:val="clear"/>
          <w:lang w:eastAsia="zh-CN"/>
        </w:rPr>
        <w:t>。</w:t>
      </w:r>
      <w:r>
        <w:rPr>
          <w:rFonts w:hint="default" w:ascii="仿宋_GB2312" w:hAnsi="Calibri" w:eastAsia="仿宋_GB2312" w:cs="Times New Roman"/>
          <w:sz w:val="32"/>
          <w:szCs w:val="32"/>
          <w:lang w:val="en-US" w:eastAsia="zh-CN"/>
        </w:rPr>
        <w:t>发布《关于进一步加强海外知识产权纠纷应对指导工作的若干措施》</w:t>
      </w:r>
      <w:r>
        <w:rPr>
          <w:rFonts w:hint="default" w:ascii="仿宋_GB2312" w:hAnsi="Calibri" w:eastAsia="仿宋_GB2312" w:cs="Times New Roman"/>
          <w:i w:val="0"/>
          <w:iCs w:val="0"/>
          <w:caps w:val="0"/>
          <w:spacing w:val="0"/>
          <w:sz w:val="32"/>
          <w:szCs w:val="32"/>
          <w:shd w:val="clear"/>
          <w:lang w:eastAsia="zh-CN"/>
        </w:rPr>
        <w:t>等政策文件，</w:t>
      </w:r>
      <w:r>
        <w:rPr>
          <w:rFonts w:hint="default" w:ascii="仿宋_GB2312" w:hAnsi="Calibri" w:eastAsia="仿宋_GB2312" w:cs="Times New Roman"/>
          <w:b w:val="0"/>
          <w:bCs w:val="0"/>
          <w:sz w:val="32"/>
          <w:szCs w:val="32"/>
          <w:lang w:eastAsia="zh-CN"/>
        </w:rPr>
        <w:t>编印</w:t>
      </w:r>
      <w:r>
        <w:rPr>
          <w:rFonts w:hint="eastAsia" w:ascii="仿宋_GB2312" w:hAnsi="仿宋_GB2312" w:eastAsia="仿宋_GB2312" w:cs="仿宋_GB2312"/>
          <w:sz w:val="32"/>
          <w:szCs w:val="32"/>
        </w:rPr>
        <w:t>《中小企业国际化经营合规指引》</w:t>
      </w:r>
      <w:r>
        <w:rPr>
          <w:rFonts w:hint="eastAsia" w:ascii="仿宋_GB2312" w:hAnsi="仿宋_GB2312" w:eastAsia="仿宋_GB2312" w:cs="仿宋_GB2312"/>
          <w:sz w:val="32"/>
          <w:szCs w:val="32"/>
          <w:lang w:eastAsia="zh-CN"/>
        </w:rPr>
        <w:t>等工作指引</w:t>
      </w:r>
      <w:r>
        <w:rPr>
          <w:rFonts w:hint="default" w:ascii="仿宋_GB2312" w:eastAsia="仿宋_GB2312" w:cs="Times New Roman"/>
          <w:i w:val="0"/>
          <w:iCs w:val="0"/>
          <w:caps w:val="0"/>
          <w:spacing w:val="0"/>
          <w:sz w:val="32"/>
          <w:szCs w:val="32"/>
          <w:shd w:val="clear"/>
          <w:lang w:eastAsia="zh-CN"/>
        </w:rPr>
        <w:t>，理顺和强化贸易政策合规工作机制，加强</w:t>
      </w:r>
      <w:r>
        <w:rPr>
          <w:rFonts w:hint="eastAsia" w:ascii="仿宋_GB2312" w:eastAsia="仿宋_GB2312" w:cs="Times New Roman"/>
          <w:i w:val="0"/>
          <w:iCs w:val="0"/>
          <w:caps w:val="0"/>
          <w:spacing w:val="0"/>
          <w:sz w:val="32"/>
          <w:szCs w:val="32"/>
          <w:shd w:val="clear"/>
          <w:lang w:eastAsia="zh-CN"/>
        </w:rPr>
        <w:t>“</w:t>
      </w:r>
      <w:r>
        <w:rPr>
          <w:rFonts w:hint="default" w:ascii="仿宋_GB2312" w:eastAsia="仿宋_GB2312" w:cs="Times New Roman"/>
          <w:i w:val="0"/>
          <w:iCs w:val="0"/>
          <w:caps w:val="0"/>
          <w:spacing w:val="0"/>
          <w:sz w:val="32"/>
          <w:szCs w:val="32"/>
          <w:shd w:val="clear"/>
          <w:lang w:eastAsia="zh-CN"/>
        </w:rPr>
        <w:t>两反一保</w:t>
      </w:r>
      <w:r>
        <w:rPr>
          <w:rFonts w:hint="eastAsia" w:ascii="仿宋_GB2312" w:eastAsia="仿宋_GB2312" w:cs="Times New Roman"/>
          <w:i w:val="0"/>
          <w:iCs w:val="0"/>
          <w:caps w:val="0"/>
          <w:spacing w:val="0"/>
          <w:sz w:val="32"/>
          <w:szCs w:val="32"/>
          <w:shd w:val="clear"/>
          <w:lang w:eastAsia="zh-CN"/>
        </w:rPr>
        <w:t>”</w:t>
      </w:r>
      <w:r>
        <w:rPr>
          <w:rFonts w:hint="default" w:ascii="仿宋_GB2312" w:eastAsia="仿宋_GB2312" w:cs="Times New Roman"/>
          <w:i w:val="0"/>
          <w:iCs w:val="0"/>
          <w:caps w:val="0"/>
          <w:spacing w:val="0"/>
          <w:sz w:val="32"/>
          <w:szCs w:val="32"/>
          <w:shd w:val="clear"/>
          <w:lang w:eastAsia="zh-CN"/>
        </w:rPr>
        <w:t>、337调查等领域合规体系建设，</w:t>
      </w:r>
      <w:r>
        <w:rPr>
          <w:rFonts w:hint="eastAsia" w:ascii="仿宋_GB2312" w:hAnsi="仿宋_GB2312" w:eastAsia="仿宋_GB2312" w:cs="仿宋_GB2312"/>
          <w:b w:val="0"/>
          <w:bCs w:val="0"/>
          <w:sz w:val="32"/>
          <w:szCs w:val="32"/>
          <w:lang w:eastAsia="zh-CN"/>
        </w:rPr>
        <w:t>开展企业国际化经营合规风险排查</w:t>
      </w:r>
      <w:r>
        <w:rPr>
          <w:rFonts w:hint="eastAsia" w:ascii="仿宋_GB2312" w:eastAsia="仿宋_GB2312" w:cs="Times New Roman"/>
          <w:b w:val="0"/>
          <w:bCs w:val="0"/>
          <w:sz w:val="32"/>
          <w:szCs w:val="32"/>
          <w:lang w:eastAsia="zh-CN"/>
        </w:rPr>
        <w:t>，</w:t>
      </w:r>
      <w:r>
        <w:rPr>
          <w:rFonts w:hint="eastAsia" w:ascii="仿宋_GB2312" w:hAnsi="等线" w:eastAsia="仿宋_GB2312" w:cs="Times New Roman"/>
          <w:i w:val="0"/>
          <w:iCs w:val="0"/>
          <w:caps w:val="0"/>
          <w:color w:val="auto"/>
          <w:spacing w:val="0"/>
          <w:sz w:val="32"/>
          <w:szCs w:val="32"/>
          <w:shd w:val="clear" w:fill="auto"/>
        </w:rPr>
        <w:t>推动企业依法合规经营</w:t>
      </w:r>
      <w:r>
        <w:rPr>
          <w:rFonts w:hint="eastAsia" w:ascii="仿宋_GB2312" w:hAnsi="仿宋_GB2312" w:eastAsia="仿宋_GB2312" w:cs="仿宋_GB2312"/>
          <w:i w:val="0"/>
          <w:iCs w:val="0"/>
          <w:caps w:val="0"/>
          <w:spacing w:val="0"/>
          <w:sz w:val="32"/>
          <w:szCs w:val="32"/>
          <w:shd w:val="clear"/>
          <w:lang w:eastAsia="zh-CN"/>
        </w:rPr>
        <w:t>。</w:t>
      </w:r>
      <w:r>
        <w:rPr>
          <w:rFonts w:hint="eastAsia" w:ascii="仿宋_GB2312" w:hAnsi="仿宋_GB2312" w:eastAsia="仿宋_GB2312" w:cs="仿宋_GB2312"/>
          <w:b/>
          <w:bCs/>
          <w:color w:val="000000"/>
          <w:sz w:val="32"/>
          <w:szCs w:val="32"/>
          <w:lang w:eastAsia="zh-CN"/>
        </w:rPr>
        <w:t>二是开展专业化涉外法律培训。</w:t>
      </w:r>
      <w:r>
        <w:rPr>
          <w:rFonts w:hint="eastAsia" w:ascii="仿宋_GB2312" w:hAnsi="等线" w:eastAsia="仿宋_GB2312" w:cs="Times New Roman"/>
          <w:color w:val="auto"/>
          <w:sz w:val="32"/>
          <w:szCs w:val="32"/>
          <w:shd w:val="clear" w:fill="auto"/>
          <w:lang w:eastAsia="zh-CN"/>
        </w:rPr>
        <w:t>持续</w:t>
      </w:r>
      <w:r>
        <w:rPr>
          <w:rFonts w:hint="eastAsia" w:ascii="仿宋_GB2312" w:hAnsi="等线" w:eastAsia="仿宋_GB2312"/>
          <w:color w:val="auto"/>
          <w:sz w:val="32"/>
          <w:szCs w:val="32"/>
          <w:shd w:val="clear" w:fill="auto"/>
        </w:rPr>
        <w:t>开展“走出去”大讲堂、跨境贸易便利化大讲堂等涉外法治服务系列活动，邀请专家学者、知名专业服务机构等</w:t>
      </w:r>
      <w:r>
        <w:rPr>
          <w:rFonts w:hint="eastAsia" w:ascii="仿宋_GB2312" w:hAnsi="等线" w:eastAsia="仿宋_GB2312" w:cs="Times New Roman"/>
          <w:i w:val="0"/>
          <w:iCs w:val="0"/>
          <w:caps w:val="0"/>
          <w:color w:val="auto"/>
          <w:spacing w:val="0"/>
          <w:sz w:val="32"/>
          <w:szCs w:val="32"/>
          <w:shd w:val="clear"/>
          <w:lang w:eastAsia="zh-CN"/>
        </w:rPr>
        <w:t>就</w:t>
      </w:r>
      <w:r>
        <w:rPr>
          <w:rFonts w:hint="eastAsia" w:ascii="仿宋_GB2312" w:hAnsi="等线" w:eastAsia="仿宋_GB2312" w:cs="Times New Roman"/>
          <w:color w:val="auto"/>
          <w:sz w:val="32"/>
          <w:szCs w:val="32"/>
          <w:highlight w:val="none"/>
          <w:lang w:eastAsia="zh-CN"/>
        </w:rPr>
        <w:t>境外投资风险防控、RCEP惠企政策</w:t>
      </w:r>
      <w:r>
        <w:rPr>
          <w:rFonts w:hint="eastAsia" w:ascii="仿宋_GB2312" w:hAnsi="等线" w:eastAsia="仿宋_GB2312" w:cs="Times New Roman"/>
          <w:color w:val="auto"/>
          <w:sz w:val="32"/>
          <w:szCs w:val="32"/>
          <w:lang w:eastAsia="zh-CN"/>
        </w:rPr>
        <w:t>、</w:t>
      </w:r>
      <w:r>
        <w:rPr>
          <w:rFonts w:hint="eastAsia" w:ascii="仿宋_GB2312" w:hAnsi="等线" w:eastAsia="仿宋_GB2312" w:cs="Times New Roman"/>
          <w:color w:val="auto"/>
          <w:sz w:val="32"/>
          <w:szCs w:val="32"/>
          <w:highlight w:val="none"/>
          <w:lang w:eastAsia="zh-CN"/>
        </w:rPr>
        <w:t>知识产权保护</w:t>
      </w:r>
      <w:r>
        <w:rPr>
          <w:rFonts w:hint="eastAsia" w:ascii="仿宋_GB2312" w:hAnsi="等线" w:eastAsia="仿宋_GB2312" w:cs="Times New Roman"/>
          <w:color w:val="auto"/>
          <w:sz w:val="32"/>
          <w:szCs w:val="32"/>
          <w:lang w:eastAsia="zh-CN"/>
        </w:rPr>
        <w:t>等</w:t>
      </w:r>
      <w:r>
        <w:rPr>
          <w:rFonts w:hint="eastAsia" w:ascii="仿宋_GB2312" w:hAnsi="等线" w:eastAsia="仿宋_GB2312" w:cs="Times New Roman"/>
          <w:color w:val="auto"/>
          <w:sz w:val="32"/>
          <w:szCs w:val="32"/>
          <w:shd w:val="clear" w:fill="auto"/>
          <w:lang w:val="en-US" w:eastAsia="zh-CN"/>
        </w:rPr>
        <w:t>主题</w:t>
      </w:r>
      <w:r>
        <w:rPr>
          <w:rFonts w:hint="eastAsia" w:ascii="仿宋_GB2312" w:hAnsi="等线" w:eastAsia="仿宋_GB2312" w:cs="Times New Roman"/>
          <w:color w:val="auto"/>
          <w:sz w:val="32"/>
          <w:szCs w:val="32"/>
          <w:shd w:val="clear" w:fill="auto"/>
          <w:lang w:eastAsia="zh-CN"/>
        </w:rPr>
        <w:t>对“走出去”企业</w:t>
      </w:r>
      <w:r>
        <w:rPr>
          <w:rFonts w:hint="eastAsia" w:ascii="仿宋_GB2312" w:hAnsi="等线" w:eastAsia="仿宋_GB2312" w:cs="Times New Roman"/>
          <w:color w:val="auto"/>
          <w:sz w:val="32"/>
          <w:szCs w:val="32"/>
          <w:shd w:val="clear" w:fill="auto"/>
          <w:lang w:val="en-US" w:eastAsia="zh-CN"/>
        </w:rPr>
        <w:t>进行</w:t>
      </w:r>
      <w:r>
        <w:rPr>
          <w:rFonts w:hint="eastAsia" w:ascii="仿宋_GB2312" w:hAnsi="等线" w:eastAsia="仿宋_GB2312" w:cs="Times New Roman"/>
          <w:color w:val="auto"/>
          <w:sz w:val="32"/>
          <w:szCs w:val="32"/>
          <w:shd w:val="clear" w:fill="auto"/>
          <w:lang w:eastAsia="zh-CN"/>
        </w:rPr>
        <w:t>培训，</w:t>
      </w:r>
      <w:r>
        <w:rPr>
          <w:rFonts w:hint="eastAsia" w:ascii="仿宋_GB2312" w:hAnsi="等线" w:eastAsia="仿宋_GB2312"/>
          <w:color w:val="auto"/>
          <w:sz w:val="32"/>
          <w:szCs w:val="32"/>
          <w:shd w:val="clear" w:fill="auto"/>
        </w:rPr>
        <w:t>帮助企业开展对外交流、拓展海外市场。</w:t>
      </w:r>
      <w:r>
        <w:rPr>
          <w:rFonts w:hint="eastAsia" w:ascii="仿宋_GB2312" w:hAnsi="仿宋_GB2312" w:eastAsia="仿宋_GB2312" w:cs="仿宋_GB2312"/>
          <w:b/>
          <w:bCs/>
          <w:color w:val="000000"/>
          <w:sz w:val="32"/>
          <w:szCs w:val="32"/>
          <w:lang w:eastAsia="zh-CN"/>
        </w:rPr>
        <w:t>三是</w:t>
      </w:r>
      <w:r>
        <w:rPr>
          <w:rFonts w:hint="eastAsia" w:ascii="仿宋_GB2312" w:hAnsi="仿宋_GB2312" w:eastAsia="仿宋_GB2312" w:cs="仿宋_GB2312"/>
          <w:b/>
          <w:bCs/>
          <w:caps w:val="0"/>
          <w:color w:val="000000"/>
          <w:spacing w:val="0"/>
          <w:sz w:val="32"/>
          <w:szCs w:val="32"/>
          <w:u w:val="none"/>
          <w:shd w:val="clear"/>
        </w:rPr>
        <w:fldChar w:fldCharType="begin"/>
      </w:r>
      <w:r>
        <w:rPr>
          <w:rFonts w:hint="eastAsia" w:ascii="仿宋_GB2312" w:hAnsi="仿宋_GB2312" w:eastAsia="仿宋_GB2312" w:cs="仿宋_GB2312"/>
          <w:b/>
          <w:bCs/>
          <w:caps w:val="0"/>
          <w:color w:val="000000"/>
          <w:spacing w:val="0"/>
          <w:sz w:val="32"/>
          <w:szCs w:val="32"/>
          <w:u w:val="none"/>
          <w:shd w:val="clear"/>
        </w:rPr>
        <w:instrText xml:space="preserve"> HYPERLINK "http://www.baidu.com/link?url=ll92OntyX3oWAMZEB4-Zje-eRgpTP0lFp_5jqN2zOgdKs7LKbU3W68qYDM1jY744uuvjG0OVvuU7Rpxf9dnQA_3LQjtdzeDleLLazo7LGpi" \t "https://www.baidu.com/_blank" </w:instrText>
      </w:r>
      <w:r>
        <w:rPr>
          <w:rFonts w:hint="eastAsia" w:ascii="仿宋_GB2312" w:hAnsi="仿宋_GB2312" w:eastAsia="仿宋_GB2312" w:cs="仿宋_GB2312"/>
          <w:b/>
          <w:bCs/>
          <w:caps w:val="0"/>
          <w:color w:val="000000"/>
          <w:spacing w:val="0"/>
          <w:sz w:val="32"/>
          <w:szCs w:val="32"/>
          <w:u w:val="none"/>
          <w:shd w:val="clear"/>
        </w:rPr>
        <w:fldChar w:fldCharType="separate"/>
      </w:r>
      <w:r>
        <w:rPr>
          <w:rFonts w:hint="eastAsia" w:ascii="仿宋_GB2312" w:hAnsi="仿宋_GB2312" w:eastAsia="仿宋_GB2312" w:cs="仿宋_GB2312"/>
          <w:b/>
          <w:bCs/>
          <w:caps w:val="0"/>
          <w:color w:val="000000"/>
          <w:spacing w:val="0"/>
          <w:sz w:val="32"/>
          <w:szCs w:val="32"/>
          <w:u w:val="none"/>
          <w:shd w:val="clear"/>
        </w:rPr>
        <w:t>构建</w:t>
      </w:r>
      <w:r>
        <w:rPr>
          <w:rFonts w:hint="eastAsia" w:ascii="仿宋_GB2312" w:hAnsi="仿宋_GB2312" w:eastAsia="仿宋_GB2312" w:cs="仿宋_GB2312"/>
          <w:b/>
          <w:bCs/>
          <w:i w:val="0"/>
          <w:iCs w:val="0"/>
          <w:caps w:val="0"/>
          <w:color w:val="000000"/>
          <w:spacing w:val="0"/>
          <w:sz w:val="32"/>
          <w:szCs w:val="32"/>
          <w:u w:val="none"/>
          <w:shd w:val="clear"/>
        </w:rPr>
        <w:t>多元化纠纷解决机制</w:t>
      </w:r>
      <w:r>
        <w:rPr>
          <w:rFonts w:hint="eastAsia" w:ascii="仿宋_GB2312" w:hAnsi="仿宋_GB2312" w:eastAsia="仿宋_GB2312" w:cs="仿宋_GB2312"/>
          <w:b/>
          <w:bCs/>
          <w:caps w:val="0"/>
          <w:color w:val="000000"/>
          <w:spacing w:val="0"/>
          <w:sz w:val="32"/>
          <w:szCs w:val="32"/>
          <w:u w:val="none"/>
          <w:shd w:val="clear"/>
        </w:rPr>
        <w:fldChar w:fldCharType="end"/>
      </w:r>
      <w:r>
        <w:rPr>
          <w:rFonts w:hint="eastAsia" w:ascii="仿宋_GB2312" w:hAnsi="仿宋_GB2312" w:eastAsia="仿宋_GB2312" w:cs="仿宋_GB2312"/>
          <w:b/>
          <w:bCs/>
          <w:caps w:val="0"/>
          <w:color w:val="000000"/>
          <w:spacing w:val="0"/>
          <w:sz w:val="32"/>
          <w:szCs w:val="32"/>
          <w:u w:val="none"/>
          <w:shd w:val="clear"/>
          <w:lang w:eastAsia="zh-CN"/>
        </w:rPr>
        <w:t>。</w:t>
      </w:r>
      <w:r>
        <w:rPr>
          <w:rFonts w:hint="eastAsia" w:ascii="仿宋_GB2312" w:hAnsi="仿宋_GB2312" w:eastAsia="仿宋_GB2312" w:cs="仿宋_GB2312"/>
          <w:caps w:val="0"/>
          <w:color w:val="000000"/>
          <w:spacing w:val="0"/>
          <w:sz w:val="32"/>
          <w:szCs w:val="32"/>
          <w:u w:val="none"/>
          <w:shd w:val="clear"/>
          <w:lang w:eastAsia="zh-CN"/>
        </w:rPr>
        <w:t>打造</w:t>
      </w:r>
      <w:r>
        <w:rPr>
          <w:rFonts w:hint="eastAsia" w:ascii="仿宋_GB2312" w:hAnsi="仿宋_GB2312" w:eastAsia="仿宋_GB2312" w:cs="仿宋_GB2312"/>
          <w:b w:val="0"/>
          <w:bCs w:val="0"/>
          <w:color w:val="000000"/>
          <w:sz w:val="32"/>
          <w:szCs w:val="32"/>
          <w:highlight w:val="none"/>
          <w:u w:val="none"/>
          <w:lang w:val="en-US" w:eastAsia="zh-CN"/>
        </w:rPr>
        <w:t>“涉外法治服务团”</w:t>
      </w:r>
      <w:r>
        <w:rPr>
          <w:rFonts w:hint="eastAsia" w:ascii="仿宋_GB2312" w:hAnsi="仿宋_GB2312" w:eastAsia="仿宋_GB2312" w:cs="仿宋_GB2312"/>
          <w:b w:val="0"/>
          <w:bCs w:val="0"/>
          <w:color w:val="000000"/>
          <w:sz w:val="32"/>
          <w:szCs w:val="32"/>
          <w:u w:val="none"/>
          <w:lang w:val="en-US" w:eastAsia="zh-CN"/>
        </w:rPr>
        <w:t>，通过</w:t>
      </w:r>
      <w:r>
        <w:rPr>
          <w:rFonts w:hint="eastAsia" w:ascii="仿宋_GB2312" w:hAnsi="仿宋_GB2312" w:eastAsia="仿宋_GB2312" w:cs="仿宋_GB2312"/>
          <w:i w:val="0"/>
          <w:iCs w:val="0"/>
          <w:caps w:val="0"/>
          <w:color w:val="000000"/>
          <w:spacing w:val="0"/>
          <w:sz w:val="32"/>
          <w:szCs w:val="32"/>
          <w:u w:val="none"/>
          <w:shd w:val="clear" w:fill="auto"/>
        </w:rPr>
        <w:t>“专职调解员+专家调解员”的联合调解模式，提供国际贸易、投资、知识产权、工程建设等领域商事纠纷专业调解服务，帮助企业以低成本解决纠纷、挽回经济损失。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Times New Roman" w:eastAsia="仿宋_GB2312" w:cs="Times New Roman"/>
          <w:i w:val="0"/>
          <w:iCs w:val="0"/>
          <w:caps w:val="0"/>
          <w:color w:val="auto"/>
          <w:spacing w:val="0"/>
          <w:sz w:val="32"/>
          <w:szCs w:val="32"/>
          <w:highlight w:val="none"/>
          <w:shd w:val="clear" w:fill="auto"/>
          <w:lang w:eastAsia="zh-CN"/>
        </w:rPr>
      </w:pPr>
      <w:r>
        <w:rPr>
          <w:rFonts w:hint="eastAsia" w:ascii="仿宋_GB2312" w:hAnsi="Times New Roman" w:eastAsia="仿宋_GB2312" w:cs="Times New Roman"/>
          <w:i w:val="0"/>
          <w:iCs w:val="0"/>
          <w:caps w:val="0"/>
          <w:color w:val="auto"/>
          <w:spacing w:val="0"/>
          <w:sz w:val="32"/>
          <w:szCs w:val="32"/>
          <w:highlight w:val="none"/>
          <w:shd w:val="clear" w:fill="auto"/>
          <w:lang w:eastAsia="zh-CN"/>
        </w:rPr>
        <w:t>下一步，深圳市</w:t>
      </w:r>
      <w:r>
        <w:rPr>
          <w:rFonts w:hint="eastAsia" w:ascii="仿宋_GB2312" w:hAnsi="Times New Roman" w:eastAsia="仿宋_GB2312" w:cs="Times New Roman"/>
          <w:color w:val="auto"/>
          <w:sz w:val="32"/>
          <w:szCs w:val="32"/>
          <w:highlight w:val="none"/>
          <w:shd w:val="clear" w:fill="auto"/>
          <w:lang w:val="en-US" w:eastAsia="zh-CN"/>
        </w:rPr>
        <w:t>将</w:t>
      </w:r>
      <w:r>
        <w:rPr>
          <w:rFonts w:hint="eastAsia" w:ascii="仿宋_GB2312" w:hAnsi="Times New Roman" w:eastAsia="仿宋_GB2312" w:cs="Times New Roman"/>
          <w:i w:val="0"/>
          <w:iCs w:val="0"/>
          <w:caps w:val="0"/>
          <w:color w:val="auto"/>
          <w:spacing w:val="0"/>
          <w:sz w:val="32"/>
          <w:szCs w:val="32"/>
          <w:highlight w:val="none"/>
          <w:shd w:val="clear" w:fill="auto"/>
        </w:rPr>
        <w:t>进一步健全涉外法律制度体系，</w:t>
      </w:r>
      <w:r>
        <w:rPr>
          <w:rFonts w:hint="eastAsia" w:ascii="仿宋_GB2312" w:hAnsi="Times New Roman" w:eastAsia="仿宋_GB2312" w:cs="Times New Roman"/>
          <w:i w:val="0"/>
          <w:iCs w:val="0"/>
          <w:caps w:val="0"/>
          <w:color w:val="auto"/>
          <w:spacing w:val="0"/>
          <w:sz w:val="32"/>
          <w:szCs w:val="32"/>
          <w:highlight w:val="none"/>
          <w:shd w:val="clear" w:fill="auto"/>
          <w:lang w:eastAsia="zh-CN"/>
        </w:rPr>
        <w:t>做优</w:t>
      </w:r>
      <w:r>
        <w:rPr>
          <w:rFonts w:hint="eastAsia" w:ascii="仿宋_GB2312" w:hAnsi="Times New Roman" w:eastAsia="仿宋_GB2312" w:cs="Times New Roman"/>
          <w:i w:val="0"/>
          <w:iCs w:val="0"/>
          <w:caps w:val="0"/>
          <w:color w:val="auto"/>
          <w:spacing w:val="0"/>
          <w:sz w:val="32"/>
          <w:szCs w:val="32"/>
          <w:highlight w:val="none"/>
          <w:shd w:val="clear" w:fill="auto"/>
        </w:rPr>
        <w:t>律师、仲裁、商事调解等方面的涉外法律服务工作</w:t>
      </w:r>
      <w:r>
        <w:rPr>
          <w:rFonts w:hint="eastAsia" w:ascii="仿宋_GB2312" w:hAnsi="Times New Roman" w:eastAsia="仿宋_GB2312" w:cs="Times New Roman"/>
          <w:i w:val="0"/>
          <w:iCs w:val="0"/>
          <w:caps w:val="0"/>
          <w:color w:val="auto"/>
          <w:spacing w:val="0"/>
          <w:sz w:val="32"/>
          <w:szCs w:val="32"/>
          <w:highlight w:val="none"/>
          <w:shd w:val="clear" w:fill="auto"/>
          <w:lang w:eastAsia="zh-CN"/>
        </w:rPr>
        <w:t>，做</w:t>
      </w:r>
      <w:r>
        <w:rPr>
          <w:rFonts w:hint="eastAsia" w:ascii="仿宋_GB2312" w:hAnsi="Times New Roman" w:eastAsia="仿宋_GB2312" w:cs="Times New Roman"/>
          <w:i w:val="0"/>
          <w:iCs w:val="0"/>
          <w:caps w:val="0"/>
          <w:color w:val="auto"/>
          <w:spacing w:val="0"/>
          <w:sz w:val="32"/>
          <w:szCs w:val="32"/>
          <w:highlight w:val="none"/>
          <w:shd w:val="clear" w:fill="auto"/>
        </w:rPr>
        <w:t>强涉外法律服务机构</w:t>
      </w:r>
      <w:r>
        <w:rPr>
          <w:rFonts w:hint="eastAsia" w:ascii="仿宋_GB2312" w:hAnsi="Times New Roman" w:eastAsia="仿宋_GB2312" w:cs="Times New Roman"/>
          <w:i w:val="0"/>
          <w:iCs w:val="0"/>
          <w:caps w:val="0"/>
          <w:color w:val="auto"/>
          <w:spacing w:val="0"/>
          <w:sz w:val="32"/>
          <w:szCs w:val="32"/>
          <w:highlight w:val="none"/>
          <w:shd w:val="clear" w:fill="auto"/>
          <w:lang w:eastAsia="zh-CN"/>
        </w:rPr>
        <w:t>，</w:t>
      </w:r>
      <w:r>
        <w:rPr>
          <w:rFonts w:hint="eastAsia" w:ascii="仿宋_GB2312" w:hAnsi="Times New Roman" w:eastAsia="仿宋_GB2312" w:cs="Times New Roman"/>
          <w:i w:val="0"/>
          <w:iCs w:val="0"/>
          <w:caps w:val="0"/>
          <w:color w:val="auto"/>
          <w:spacing w:val="0"/>
          <w:sz w:val="32"/>
          <w:szCs w:val="32"/>
          <w:highlight w:val="none"/>
          <w:shd w:val="clear" w:fill="auto"/>
        </w:rPr>
        <w:t>引导企业加强合规建设和风险管理，支持企业应对不合理贸易限制和知识产权纠纷</w:t>
      </w:r>
      <w:r>
        <w:rPr>
          <w:rFonts w:hint="eastAsia" w:ascii="仿宋_GB2312" w:hAnsi="Times New Roman" w:eastAsia="仿宋_GB2312" w:cs="Times New Roman"/>
          <w:i w:val="0"/>
          <w:iCs w:val="0"/>
          <w:caps w:val="0"/>
          <w:color w:val="auto"/>
          <w:spacing w:val="0"/>
          <w:sz w:val="32"/>
          <w:szCs w:val="32"/>
          <w:highlight w:val="none"/>
          <w:shd w:val="clear" w:fill="auto"/>
          <w:lang w:eastAsia="zh-CN"/>
        </w:rPr>
        <w:t>，着力维护我市“走出去”企业的合法权益，有力服务保障我市高水平对外开放。</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default" w:ascii="黑体" w:hAnsi="黑体" w:eastAsia="黑体"/>
          <w:sz w:val="32"/>
          <w:szCs w:val="32"/>
        </w:rPr>
        <w:t>二、关于</w:t>
      </w:r>
      <w:r>
        <w:rPr>
          <w:rFonts w:hint="eastAsia" w:ascii="黑体" w:hAnsi="黑体" w:eastAsia="黑体"/>
          <w:sz w:val="32"/>
          <w:szCs w:val="32"/>
        </w:rPr>
        <w:t>“加强海外政策跟踪及研究体系建设”建议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color w:val="auto"/>
          <w:sz w:val="32"/>
          <w:szCs w:val="32"/>
          <w:highlight w:val="none"/>
          <w:shd w:val="clear" w:fill="auto"/>
          <w:lang w:eastAsia="zh-CN"/>
        </w:rPr>
      </w:pPr>
      <w:r>
        <w:rPr>
          <w:rFonts w:hint="eastAsia" w:ascii="仿宋_GB2312" w:hAnsi="Times New Roman" w:eastAsia="仿宋_GB2312" w:cs="Times New Roman"/>
          <w:color w:val="auto"/>
          <w:sz w:val="32"/>
          <w:szCs w:val="32"/>
          <w:highlight w:val="none"/>
          <w:shd w:val="clear" w:fill="auto"/>
          <w:lang w:eastAsia="zh-CN"/>
        </w:rPr>
        <w:t>深圳市高度重视</w:t>
      </w:r>
      <w:r>
        <w:rPr>
          <w:rFonts w:hint="eastAsia" w:ascii="仿宋_GB2312" w:hAnsi="Times New Roman" w:eastAsia="仿宋_GB2312" w:cs="Times New Roman"/>
          <w:b w:val="0"/>
          <w:bCs w:val="0"/>
          <w:color w:val="auto"/>
          <w:sz w:val="32"/>
          <w:szCs w:val="32"/>
          <w:highlight w:val="none"/>
          <w:shd w:val="clear" w:fill="auto"/>
          <w:lang w:eastAsia="zh-CN"/>
        </w:rPr>
        <w:t>对外投资</w:t>
      </w:r>
      <w:r>
        <w:rPr>
          <w:rFonts w:hint="eastAsia" w:ascii="仿宋_GB2312" w:hAnsi="Times New Roman" w:eastAsia="仿宋_GB2312" w:cs="Times New Roman"/>
          <w:b w:val="0"/>
          <w:bCs w:val="0"/>
          <w:color w:val="auto"/>
          <w:sz w:val="32"/>
          <w:szCs w:val="32"/>
          <w:highlight w:val="none"/>
          <w:shd w:val="clear" w:fill="auto"/>
          <w:lang w:val="en-US" w:eastAsia="zh-CN"/>
        </w:rPr>
        <w:t>运行</w:t>
      </w:r>
      <w:r>
        <w:rPr>
          <w:rFonts w:hint="eastAsia" w:ascii="仿宋_GB2312" w:hAnsi="Times New Roman" w:eastAsia="仿宋_GB2312" w:cs="Times New Roman"/>
          <w:color w:val="auto"/>
          <w:sz w:val="32"/>
          <w:szCs w:val="32"/>
          <w:highlight w:val="none"/>
          <w:shd w:val="clear" w:fill="auto"/>
          <w:lang w:eastAsia="zh-CN"/>
        </w:rPr>
        <w:t>监测工作，依托我市驻海外经贸代表处、</w:t>
      </w:r>
      <w:r>
        <w:rPr>
          <w:rFonts w:hint="eastAsia" w:ascii="仿宋_GB2312" w:hAnsi="Times New Roman" w:eastAsia="仿宋_GB2312" w:cs="Times New Roman"/>
          <w:i w:val="0"/>
          <w:iCs w:val="0"/>
          <w:caps w:val="0"/>
          <w:color w:val="auto"/>
          <w:spacing w:val="0"/>
          <w:sz w:val="32"/>
          <w:szCs w:val="32"/>
          <w:highlight w:val="none"/>
          <w:shd w:val="clear" w:fill="auto"/>
        </w:rPr>
        <w:t>驻外经贸联络处</w:t>
      </w:r>
      <w:r>
        <w:rPr>
          <w:rFonts w:hint="eastAsia" w:ascii="仿宋_GB2312" w:hAnsi="Times New Roman" w:eastAsia="仿宋_GB2312" w:cs="Times New Roman"/>
          <w:i w:val="0"/>
          <w:iCs w:val="0"/>
          <w:caps w:val="0"/>
          <w:color w:val="auto"/>
          <w:spacing w:val="0"/>
          <w:sz w:val="32"/>
          <w:szCs w:val="32"/>
          <w:highlight w:val="none"/>
          <w:shd w:val="clear" w:fill="auto"/>
          <w:lang w:eastAsia="zh-CN"/>
        </w:rPr>
        <w:t>、知名智库机构等资源，</w:t>
      </w:r>
      <w:r>
        <w:rPr>
          <w:rFonts w:hint="eastAsia" w:ascii="仿宋_GB2312" w:hAnsi="Times New Roman" w:eastAsia="仿宋_GB2312"/>
          <w:color w:val="auto"/>
          <w:sz w:val="32"/>
          <w:szCs w:val="32"/>
          <w:highlight w:val="none"/>
          <w:shd w:val="clear" w:fill="auto"/>
        </w:rPr>
        <w:t>加强对国际政治经济形势以及主要国家地区政策变化的监测及研究工作，做好前瞻性分析，</w:t>
      </w:r>
      <w:r>
        <w:rPr>
          <w:rFonts w:hint="eastAsia" w:ascii="仿宋_GB2312" w:hAnsi="Times New Roman" w:eastAsia="仿宋_GB2312" w:cs="Times New Roman"/>
          <w:color w:val="auto"/>
          <w:sz w:val="32"/>
          <w:szCs w:val="32"/>
          <w:highlight w:val="none"/>
          <w:shd w:val="clear" w:fill="auto"/>
        </w:rPr>
        <w:t>及时收集</w:t>
      </w:r>
      <w:r>
        <w:rPr>
          <w:rFonts w:hint="eastAsia" w:ascii="仿宋_GB2312" w:hAnsi="Times New Roman" w:eastAsia="仿宋_GB2312" w:cs="Times New Roman"/>
          <w:color w:val="auto"/>
          <w:sz w:val="32"/>
          <w:szCs w:val="32"/>
          <w:highlight w:val="none"/>
          <w:shd w:val="clear" w:fill="auto"/>
          <w:lang w:eastAsia="zh-CN"/>
        </w:rPr>
        <w:t>和</w:t>
      </w:r>
      <w:r>
        <w:rPr>
          <w:rFonts w:hint="eastAsia" w:ascii="仿宋_GB2312" w:hAnsi="Times New Roman" w:eastAsia="仿宋_GB2312" w:cs="Times New Roman"/>
          <w:color w:val="auto"/>
          <w:sz w:val="32"/>
          <w:szCs w:val="32"/>
          <w:highlight w:val="none"/>
          <w:shd w:val="clear" w:fill="auto"/>
        </w:rPr>
        <w:t>发布</w:t>
      </w:r>
      <w:r>
        <w:rPr>
          <w:rFonts w:hint="eastAsia" w:ascii="仿宋_GB2312" w:hAnsi="Times New Roman" w:eastAsia="仿宋_GB2312" w:cs="Times New Roman"/>
          <w:color w:val="auto"/>
          <w:sz w:val="32"/>
          <w:szCs w:val="32"/>
          <w:highlight w:val="none"/>
          <w:shd w:val="clear" w:fill="auto"/>
          <w:lang w:eastAsia="zh-CN"/>
        </w:rPr>
        <w:t>出口管制、</w:t>
      </w:r>
      <w:r>
        <w:rPr>
          <w:rFonts w:hint="eastAsia" w:ascii="仿宋_GB2312" w:hAnsi="Times New Roman" w:eastAsia="仿宋_GB2312" w:cs="Times New Roman"/>
          <w:color w:val="auto"/>
          <w:sz w:val="32"/>
          <w:szCs w:val="32"/>
          <w:highlight w:val="none"/>
          <w:shd w:val="clear" w:fill="auto"/>
        </w:rPr>
        <w:t>反倾销、反补贴及保障措施、</w:t>
      </w:r>
      <w:r>
        <w:rPr>
          <w:rFonts w:hint="eastAsia" w:ascii="仿宋_GB2312" w:hAnsi="Times New Roman" w:eastAsia="仿宋_GB2312" w:cs="Times New Roman"/>
          <w:color w:val="auto"/>
          <w:sz w:val="32"/>
          <w:szCs w:val="32"/>
          <w:highlight w:val="none"/>
          <w:shd w:val="clear" w:fill="auto"/>
          <w:lang w:eastAsia="zh-CN"/>
        </w:rPr>
        <w:t>国际重点法规更新</w:t>
      </w:r>
      <w:r>
        <w:rPr>
          <w:rFonts w:hint="eastAsia" w:ascii="仿宋_GB2312" w:hAnsi="Times New Roman" w:eastAsia="仿宋_GB2312" w:cs="Times New Roman"/>
          <w:color w:val="auto"/>
          <w:sz w:val="32"/>
          <w:szCs w:val="32"/>
          <w:highlight w:val="none"/>
          <w:shd w:val="clear" w:fill="auto"/>
        </w:rPr>
        <w:t>、</w:t>
      </w:r>
      <w:r>
        <w:rPr>
          <w:rFonts w:hint="eastAsia" w:ascii="仿宋_GB2312" w:hAnsi="Times New Roman" w:eastAsia="仿宋_GB2312"/>
          <w:color w:val="auto"/>
          <w:sz w:val="32"/>
          <w:szCs w:val="32"/>
          <w:highlight w:val="none"/>
          <w:shd w:val="clear" w:fill="auto"/>
        </w:rPr>
        <w:t>海外知识产权保护</w:t>
      </w:r>
      <w:r>
        <w:rPr>
          <w:rFonts w:hint="eastAsia" w:ascii="仿宋_GB2312" w:hAnsi="Times New Roman" w:eastAsia="仿宋_GB2312" w:cs="Times New Roman"/>
          <w:color w:val="auto"/>
          <w:sz w:val="32"/>
          <w:szCs w:val="32"/>
          <w:highlight w:val="none"/>
          <w:shd w:val="clear" w:fill="auto"/>
        </w:rPr>
        <w:t>等方面</w:t>
      </w:r>
      <w:r>
        <w:rPr>
          <w:rFonts w:hint="eastAsia" w:ascii="仿宋_GB2312" w:hAnsi="Times New Roman" w:eastAsia="仿宋_GB2312" w:cs="Times New Roman"/>
          <w:b w:val="0"/>
          <w:bCs w:val="0"/>
          <w:color w:val="auto"/>
          <w:sz w:val="32"/>
          <w:szCs w:val="32"/>
          <w:highlight w:val="none"/>
          <w:shd w:val="clear" w:fill="auto"/>
          <w:lang w:val="en-US" w:eastAsia="zh-CN"/>
        </w:rPr>
        <w:t>涉外经贸预警信息</w:t>
      </w:r>
      <w:r>
        <w:rPr>
          <w:rFonts w:hint="eastAsia" w:ascii="仿宋_GB2312" w:hAnsi="Times New Roman" w:eastAsia="仿宋_GB2312" w:cs="Times New Roman"/>
          <w:color w:val="auto"/>
          <w:sz w:val="32"/>
          <w:szCs w:val="32"/>
          <w:highlight w:val="none"/>
          <w:shd w:val="clear" w:fill="auto"/>
        </w:rPr>
        <w:t>，</w:t>
      </w:r>
      <w:r>
        <w:rPr>
          <w:rFonts w:hint="eastAsia" w:ascii="仿宋_GB2312" w:hAnsi="Times New Roman" w:eastAsia="仿宋_GB2312" w:cs="Times New Roman"/>
          <w:color w:val="auto"/>
          <w:sz w:val="32"/>
          <w:szCs w:val="32"/>
          <w:highlight w:val="none"/>
          <w:shd w:val="clear" w:fill="auto"/>
          <w:lang w:eastAsia="zh-CN"/>
        </w:rPr>
        <w:t>协助企业防范化解境外投资风险，助力“走出去”企业行稳致远。</w:t>
      </w:r>
    </w:p>
    <w:p>
      <w:pPr>
        <w:spacing w:line="560" w:lineRule="exact"/>
        <w:ind w:firstLine="640" w:firstLineChars="200"/>
        <w:rPr>
          <w:rFonts w:hint="eastAsia" w:ascii="仿宋_GB2312" w:hAnsi="Times New Roman" w:eastAsia="仿宋_GB2312" w:cs="Times New Roman"/>
          <w:color w:val="auto"/>
          <w:sz w:val="32"/>
          <w:szCs w:val="32"/>
          <w:highlight w:val="none"/>
          <w:shd w:val="clear" w:fill="auto"/>
        </w:rPr>
      </w:pPr>
      <w:r>
        <w:rPr>
          <w:rFonts w:hint="eastAsia" w:ascii="仿宋_GB2312" w:hAnsi="Times New Roman" w:eastAsia="仿宋_GB2312" w:cs="Times New Roman"/>
          <w:i w:val="0"/>
          <w:iCs w:val="0"/>
          <w:caps w:val="0"/>
          <w:color w:val="auto"/>
          <w:spacing w:val="0"/>
          <w:sz w:val="32"/>
          <w:szCs w:val="32"/>
          <w:highlight w:val="none"/>
          <w:shd w:val="clear" w:fill="auto"/>
          <w:lang w:eastAsia="zh-CN"/>
        </w:rPr>
        <w:t>下一步，深圳市</w:t>
      </w:r>
      <w:r>
        <w:rPr>
          <w:rFonts w:hint="eastAsia" w:ascii="仿宋_GB2312" w:hAnsi="Times New Roman" w:eastAsia="仿宋_GB2312" w:cs="Times New Roman"/>
          <w:color w:val="auto"/>
          <w:sz w:val="32"/>
          <w:szCs w:val="32"/>
          <w:highlight w:val="none"/>
          <w:shd w:val="clear" w:fill="auto"/>
          <w:lang w:val="en-US" w:eastAsia="zh-CN"/>
        </w:rPr>
        <w:t>将</w:t>
      </w:r>
      <w:r>
        <w:rPr>
          <w:rFonts w:hint="eastAsia" w:ascii="仿宋_GB2312" w:hAnsi="Times New Roman" w:eastAsia="仿宋_GB2312" w:cs="Times New Roman"/>
          <w:color w:val="auto"/>
          <w:sz w:val="32"/>
          <w:szCs w:val="32"/>
          <w:highlight w:val="none"/>
          <w:shd w:val="clear" w:fill="auto"/>
          <w:lang w:eastAsia="zh-CN"/>
        </w:rPr>
        <w:t>继续做好</w:t>
      </w:r>
      <w:r>
        <w:rPr>
          <w:rFonts w:hint="eastAsia" w:ascii="仿宋_GB2312" w:hAnsi="Times New Roman" w:eastAsia="仿宋_GB2312" w:cs="Times New Roman"/>
          <w:color w:val="auto"/>
          <w:sz w:val="32"/>
          <w:szCs w:val="32"/>
          <w:highlight w:val="none"/>
          <w:shd w:val="clear" w:fill="auto"/>
        </w:rPr>
        <w:t>对国际政治经济形势以及主要国家地区政策变化的监测及研究工作，</w:t>
      </w:r>
      <w:r>
        <w:rPr>
          <w:rFonts w:hint="eastAsia" w:ascii="仿宋_GB2312" w:hAnsi="Times New Roman" w:eastAsia="仿宋_GB2312" w:cs="Times New Roman"/>
          <w:color w:val="auto"/>
          <w:sz w:val="32"/>
          <w:szCs w:val="32"/>
          <w:highlight w:val="none"/>
          <w:shd w:val="clear" w:fill="auto"/>
          <w:lang w:eastAsia="zh-CN"/>
        </w:rPr>
        <w:t>强化</w:t>
      </w:r>
      <w:r>
        <w:rPr>
          <w:rFonts w:hint="eastAsia" w:ascii="仿宋_GB2312" w:hAnsi="Times New Roman" w:eastAsia="仿宋_GB2312" w:cs="Times New Roman"/>
          <w:color w:val="auto"/>
          <w:sz w:val="32"/>
          <w:szCs w:val="32"/>
          <w:highlight w:val="none"/>
          <w:shd w:val="clear" w:fill="auto"/>
        </w:rPr>
        <w:t>重点案例分析及前瞻预判</w:t>
      </w:r>
      <w:r>
        <w:rPr>
          <w:rFonts w:hint="eastAsia" w:ascii="仿宋_GB2312" w:hAnsi="Times New Roman" w:eastAsia="仿宋_GB2312" w:cs="Times New Roman"/>
          <w:color w:val="auto"/>
          <w:sz w:val="32"/>
          <w:szCs w:val="32"/>
          <w:highlight w:val="none"/>
          <w:shd w:val="clear" w:fill="auto"/>
          <w:lang w:eastAsia="zh-CN"/>
        </w:rPr>
        <w:t>，</w:t>
      </w:r>
      <w:r>
        <w:rPr>
          <w:rFonts w:hint="eastAsia" w:ascii="仿宋_GB2312" w:hAnsi="Times New Roman" w:eastAsia="仿宋_GB2312" w:cs="Times New Roman"/>
          <w:i w:val="0"/>
          <w:iCs w:val="0"/>
          <w:caps w:val="0"/>
          <w:color w:val="auto"/>
          <w:spacing w:val="0"/>
          <w:sz w:val="32"/>
          <w:szCs w:val="32"/>
          <w:highlight w:val="none"/>
          <w:shd w:val="clear" w:fill="auto"/>
        </w:rPr>
        <w:t>及时收集并发布境外</w:t>
      </w:r>
      <w:r>
        <w:rPr>
          <w:rFonts w:hint="eastAsia" w:ascii="仿宋_GB2312" w:hAnsi="Times New Roman" w:eastAsia="仿宋_GB2312" w:cs="Times New Roman"/>
          <w:i w:val="0"/>
          <w:iCs w:val="0"/>
          <w:caps w:val="0"/>
          <w:color w:val="auto"/>
          <w:spacing w:val="0"/>
          <w:sz w:val="32"/>
          <w:szCs w:val="32"/>
          <w:highlight w:val="none"/>
          <w:shd w:val="clear" w:fill="auto"/>
          <w:lang w:eastAsia="zh-CN"/>
        </w:rPr>
        <w:t>经贸</w:t>
      </w:r>
      <w:r>
        <w:rPr>
          <w:rFonts w:hint="eastAsia" w:ascii="仿宋_GB2312" w:hAnsi="Times New Roman" w:eastAsia="仿宋_GB2312" w:cs="Times New Roman"/>
          <w:i w:val="0"/>
          <w:iCs w:val="0"/>
          <w:caps w:val="0"/>
          <w:color w:val="auto"/>
          <w:spacing w:val="0"/>
          <w:sz w:val="32"/>
          <w:szCs w:val="32"/>
          <w:highlight w:val="none"/>
          <w:shd w:val="clear" w:fill="auto"/>
        </w:rPr>
        <w:t>预警信息，做好信息通报工作，指导</w:t>
      </w:r>
      <w:r>
        <w:rPr>
          <w:rFonts w:hint="eastAsia" w:ascii="仿宋_GB2312" w:hAnsi="Times New Roman" w:eastAsia="仿宋_GB2312" w:cs="Times New Roman"/>
          <w:i w:val="0"/>
          <w:iCs w:val="0"/>
          <w:caps w:val="0"/>
          <w:color w:val="auto"/>
          <w:spacing w:val="0"/>
          <w:sz w:val="32"/>
          <w:szCs w:val="32"/>
          <w:highlight w:val="none"/>
          <w:shd w:val="clear" w:fill="auto"/>
          <w:lang w:eastAsia="zh-CN"/>
        </w:rPr>
        <w:t>本市</w:t>
      </w:r>
      <w:r>
        <w:rPr>
          <w:rFonts w:hint="eastAsia" w:ascii="仿宋_GB2312" w:hAnsi="Times New Roman" w:eastAsia="仿宋_GB2312" w:cs="Times New Roman"/>
          <w:i w:val="0"/>
          <w:iCs w:val="0"/>
          <w:caps w:val="0"/>
          <w:color w:val="auto"/>
          <w:spacing w:val="0"/>
          <w:sz w:val="32"/>
          <w:szCs w:val="32"/>
          <w:highlight w:val="none"/>
          <w:shd w:val="clear" w:fill="auto"/>
        </w:rPr>
        <w:t>对外投资合作企业加强海外风险防控工作，增强抵御风险的能力。</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default" w:ascii="黑体" w:hAnsi="黑体" w:eastAsia="黑体"/>
          <w:sz w:val="32"/>
          <w:szCs w:val="32"/>
        </w:rPr>
        <w:t>三、关于“</w:t>
      </w:r>
      <w:r>
        <w:rPr>
          <w:rFonts w:hint="eastAsia" w:ascii="黑体" w:hAnsi="黑体" w:eastAsia="黑体"/>
          <w:sz w:val="32"/>
          <w:szCs w:val="32"/>
        </w:rPr>
        <w:t>加大</w:t>
      </w:r>
      <w:r>
        <w:rPr>
          <w:rFonts w:hint="eastAsia" w:ascii="黑体" w:hAnsi="黑体" w:eastAsia="黑体"/>
          <w:sz w:val="32"/>
          <w:szCs w:val="32"/>
          <w:lang w:eastAsia="zh-CN"/>
        </w:rPr>
        <w:t>‘</w:t>
      </w:r>
      <w:r>
        <w:rPr>
          <w:rFonts w:hint="eastAsia" w:ascii="黑体" w:hAnsi="黑体" w:eastAsia="黑体"/>
          <w:sz w:val="32"/>
          <w:szCs w:val="32"/>
        </w:rPr>
        <w:t>走出去</w:t>
      </w:r>
      <w:r>
        <w:rPr>
          <w:rFonts w:hint="eastAsia" w:ascii="黑体" w:hAnsi="黑体" w:eastAsia="黑体"/>
          <w:sz w:val="32"/>
          <w:szCs w:val="32"/>
          <w:lang w:eastAsia="zh-CN"/>
        </w:rPr>
        <w:t>’</w:t>
      </w:r>
      <w:r>
        <w:rPr>
          <w:rFonts w:hint="eastAsia" w:ascii="黑体" w:hAnsi="黑体" w:eastAsia="黑体"/>
          <w:sz w:val="32"/>
          <w:szCs w:val="32"/>
        </w:rPr>
        <w:t>政策扶持力度</w:t>
      </w:r>
      <w:r>
        <w:rPr>
          <w:rFonts w:hint="default" w:ascii="黑体" w:hAnsi="黑体" w:eastAsia="黑体"/>
          <w:sz w:val="32"/>
          <w:szCs w:val="32"/>
        </w:rPr>
        <w:t>”</w:t>
      </w:r>
      <w:r>
        <w:rPr>
          <w:rFonts w:hint="eastAsia" w:ascii="黑体" w:hAnsi="黑体" w:eastAsia="黑体"/>
          <w:sz w:val="32"/>
          <w:szCs w:val="32"/>
        </w:rPr>
        <w:t>建议</w:t>
      </w:r>
    </w:p>
    <w:p>
      <w:pPr>
        <w:pStyle w:val="15"/>
        <w:keepNext w:val="0"/>
        <w:keepLines w:val="0"/>
        <w:pageBreakBefore w:val="0"/>
        <w:widowControl/>
        <w:suppressLineNumbers w:val="0"/>
        <w:kinsoku/>
        <w:wordWrap/>
        <w:overflowPunct/>
        <w:topLinePunct w:val="0"/>
        <w:autoSpaceDE/>
        <w:autoSpaceDN/>
        <w:bidi w:val="0"/>
        <w:adjustRightInd/>
        <w:snapToGrid/>
        <w:spacing w:beforeLines="0" w:afterLines="0"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default" w:ascii="仿宋_GB2312" w:hAnsi="仿宋_GB2312" w:eastAsia="仿宋_GB2312" w:cs="仿宋_GB2312"/>
          <w:sz w:val="32"/>
          <w:szCs w:val="32"/>
          <w:highlight w:val="none"/>
          <w:lang w:eastAsia="zh-CN"/>
        </w:rPr>
        <w:t>为进一步鼓励企业</w:t>
      </w:r>
      <w:r>
        <w:rPr>
          <w:rFonts w:ascii="仿宋_GB2312" w:hAnsi="仿宋_GB2312" w:eastAsia="仿宋_GB2312" w:cs="仿宋_GB2312"/>
          <w:i w:val="0"/>
          <w:iCs w:val="0"/>
          <w:caps w:val="0"/>
          <w:color w:val="auto"/>
          <w:spacing w:val="0"/>
          <w:sz w:val="32"/>
          <w:szCs w:val="32"/>
          <w:highlight w:val="none"/>
          <w:shd w:val="clear" w:fill="auto"/>
        </w:rPr>
        <w:t>“出海”</w:t>
      </w:r>
      <w:r>
        <w:rPr>
          <w:rFonts w:hint="default" w:ascii="仿宋_GB2312" w:hAnsi="仿宋_GB2312" w:eastAsia="仿宋_GB2312" w:cs="仿宋_GB2312"/>
          <w:sz w:val="32"/>
          <w:szCs w:val="32"/>
          <w:highlight w:val="none"/>
          <w:lang w:eastAsia="zh-CN"/>
        </w:rPr>
        <w:t>，推动更多</w:t>
      </w:r>
      <w:r>
        <w:rPr>
          <w:rFonts w:hint="default" w:ascii="仿宋_GB2312" w:hAnsi="仿宋_GB2312" w:eastAsia="仿宋_GB2312" w:cs="仿宋_GB2312"/>
          <w:sz w:val="32"/>
          <w:szCs w:val="32"/>
          <w:highlight w:val="none"/>
          <w:lang w:val="en-US" w:eastAsia="zh-CN"/>
        </w:rPr>
        <w:t>企业</w:t>
      </w:r>
      <w:r>
        <w:rPr>
          <w:rFonts w:hint="default" w:ascii="仿宋_GB2312" w:hAnsi="仿宋_GB2312" w:eastAsia="仿宋_GB2312" w:cs="仿宋_GB2312"/>
          <w:sz w:val="32"/>
          <w:szCs w:val="32"/>
          <w:highlight w:val="none"/>
          <w:lang w:eastAsia="zh-CN"/>
        </w:rPr>
        <w:t>走向国际市场，增加全球市场“含深度”，</w:t>
      </w:r>
      <w:r>
        <w:rPr>
          <w:rFonts w:hint="default" w:ascii="仿宋_GB2312" w:hAnsi="仿宋_GB2312" w:eastAsia="仿宋_GB2312" w:cs="仿宋_GB2312"/>
          <w:i w:val="0"/>
          <w:iCs w:val="0"/>
          <w:caps w:val="0"/>
          <w:color w:val="auto"/>
          <w:spacing w:val="0"/>
          <w:sz w:val="32"/>
          <w:szCs w:val="32"/>
          <w:highlight w:val="none"/>
          <w:shd w:val="clear" w:fill="auto"/>
          <w:lang w:eastAsia="zh-CN"/>
        </w:rPr>
        <w:t>深圳市</w:t>
      </w:r>
      <w:r>
        <w:rPr>
          <w:rFonts w:hint="default" w:ascii="仿宋_GB2312" w:hAnsi="仿宋_GB2312" w:eastAsia="仿宋_GB2312" w:cs="仿宋_GB2312"/>
          <w:sz w:val="32"/>
          <w:szCs w:val="32"/>
          <w:highlight w:val="none"/>
          <w:lang w:eastAsia="zh-CN"/>
        </w:rPr>
        <w:t>出台了一系列支持政策。</w:t>
      </w:r>
      <w:r>
        <w:rPr>
          <w:rFonts w:hint="eastAsia" w:ascii="仿宋_GB2312" w:hAnsi="仿宋_GB2312" w:eastAsia="仿宋_GB2312" w:cs="仿宋_GB2312"/>
          <w:b/>
          <w:bCs/>
          <w:i w:val="0"/>
          <w:iCs w:val="0"/>
          <w:caps w:val="0"/>
          <w:color w:val="auto"/>
          <w:spacing w:val="0"/>
          <w:sz w:val="32"/>
          <w:szCs w:val="32"/>
          <w:highlight w:val="none"/>
          <w:u w:val="none"/>
          <w:shd w:val="clear"/>
          <w:lang w:eastAsia="zh-CN"/>
        </w:rPr>
        <w:t>在</w:t>
      </w:r>
      <w:r>
        <w:rPr>
          <w:rFonts w:hint="default" w:ascii="仿宋_GB2312" w:hAnsi="仿宋_GB2312" w:eastAsia="仿宋_GB2312" w:cs="仿宋_GB2312"/>
          <w:b/>
          <w:bCs/>
          <w:color w:val="auto"/>
          <w:sz w:val="32"/>
          <w:szCs w:val="32"/>
          <w:highlight w:val="none"/>
          <w:u w:val="none"/>
          <w:lang w:eastAsia="zh-CN"/>
        </w:rPr>
        <w:t>对外投资</w:t>
      </w:r>
      <w:r>
        <w:rPr>
          <w:rFonts w:hint="eastAsia" w:ascii="仿宋_GB2312" w:hAnsi="仿宋_GB2312" w:eastAsia="仿宋_GB2312" w:cs="仿宋_GB2312"/>
          <w:b/>
          <w:bCs/>
          <w:color w:val="auto"/>
          <w:sz w:val="32"/>
          <w:szCs w:val="32"/>
          <w:highlight w:val="none"/>
          <w:u w:val="none"/>
          <w:lang w:eastAsia="zh-CN"/>
        </w:rPr>
        <w:t>方面，</w:t>
      </w:r>
      <w:r>
        <w:rPr>
          <w:rFonts w:hint="default" w:ascii="仿宋_GB2312" w:hAnsi="仿宋_GB2312" w:eastAsia="仿宋_GB2312" w:cs="仿宋_GB2312"/>
          <w:sz w:val="32"/>
          <w:szCs w:val="32"/>
          <w:highlight w:val="none"/>
          <w:lang w:eastAsia="zh-CN"/>
        </w:rPr>
        <w:t>对企业在境外投资项目前期费用、贷款利息、海外投资保险保费等给予50%资金补贴</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b/>
          <w:bCs/>
          <w:color w:val="auto"/>
          <w:sz w:val="32"/>
          <w:szCs w:val="32"/>
          <w:highlight w:val="none"/>
          <w:u w:val="none"/>
          <w:lang w:val="en-US" w:eastAsia="zh-CN"/>
        </w:rPr>
        <w:t>在</w:t>
      </w:r>
      <w:r>
        <w:rPr>
          <w:rFonts w:hint="default" w:ascii="仿宋_GB2312" w:hAnsi="仿宋_GB2312" w:eastAsia="仿宋_GB2312" w:cs="仿宋_GB2312"/>
          <w:b/>
          <w:bCs/>
          <w:color w:val="auto"/>
          <w:sz w:val="32"/>
          <w:szCs w:val="32"/>
          <w:highlight w:val="none"/>
          <w:u w:val="none"/>
          <w:lang w:eastAsia="zh-CN"/>
        </w:rPr>
        <w:t>对外承包工程</w:t>
      </w:r>
      <w:r>
        <w:rPr>
          <w:rFonts w:hint="eastAsia" w:ascii="仿宋_GB2312" w:hAnsi="仿宋_GB2312" w:eastAsia="仿宋_GB2312" w:cs="仿宋_GB2312"/>
          <w:b/>
          <w:bCs/>
          <w:color w:val="auto"/>
          <w:sz w:val="32"/>
          <w:szCs w:val="32"/>
          <w:highlight w:val="none"/>
          <w:u w:val="none"/>
          <w:lang w:eastAsia="zh-CN"/>
        </w:rPr>
        <w:t>方面，</w:t>
      </w:r>
      <w:r>
        <w:rPr>
          <w:rFonts w:hint="eastAsia" w:ascii="仿宋_GB2312" w:hAnsi="仿宋_GB2312" w:eastAsia="仿宋_GB2312" w:cs="仿宋_GB2312"/>
          <w:sz w:val="32"/>
          <w:szCs w:val="32"/>
          <w:lang w:val="en-US" w:eastAsia="zh-CN"/>
        </w:rPr>
        <w:t>对首次申请对外承包工程绩效增长的予以最高200万元人民币奖励</w:t>
      </w:r>
      <w:r>
        <w:rPr>
          <w:rFonts w:hint="default" w:ascii="仿宋_GB2312" w:hAnsi="仿宋_GB2312" w:eastAsia="仿宋_GB2312" w:cs="仿宋_GB2312"/>
          <w:sz w:val="32"/>
          <w:szCs w:val="32"/>
          <w:lang w:eastAsia="zh-CN"/>
        </w:rPr>
        <w:t>，同时</w:t>
      </w:r>
      <w:r>
        <w:rPr>
          <w:rFonts w:hint="eastAsia" w:ascii="仿宋_GB2312" w:hAnsi="仿宋_GB2312" w:eastAsia="仿宋_GB2312" w:cs="仿宋_GB2312"/>
          <w:sz w:val="32"/>
          <w:szCs w:val="32"/>
          <w:lang w:val="en-US" w:eastAsia="zh-CN"/>
        </w:rPr>
        <w:t>根据对外承包工程绩效同比上一年度增长的规模，分梯度给予</w:t>
      </w:r>
      <w:r>
        <w:rPr>
          <w:rFonts w:hint="default" w:ascii="仿宋_GB2312" w:hAnsi="仿宋_GB2312" w:eastAsia="仿宋_GB2312" w:cs="仿宋_GB2312"/>
          <w:sz w:val="32"/>
          <w:szCs w:val="32"/>
          <w:lang w:eastAsia="zh-CN"/>
        </w:rPr>
        <w:t>最高200万元</w:t>
      </w:r>
      <w:r>
        <w:rPr>
          <w:rFonts w:hint="eastAsia" w:ascii="仿宋_GB2312" w:hAnsi="仿宋_GB2312" w:eastAsia="仿宋_GB2312" w:cs="仿宋_GB2312"/>
          <w:sz w:val="32"/>
          <w:szCs w:val="32"/>
          <w:lang w:val="en-US" w:eastAsia="zh-CN"/>
        </w:rPr>
        <w:t>奖励</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color w:val="auto"/>
          <w:sz w:val="32"/>
          <w:szCs w:val="32"/>
          <w:highlight w:val="none"/>
          <w:u w:val="none"/>
          <w:lang w:val="en-US" w:eastAsia="zh-CN"/>
        </w:rPr>
        <w:t>在</w:t>
      </w:r>
      <w:r>
        <w:rPr>
          <w:rFonts w:hint="default" w:ascii="仿宋_GB2312" w:hAnsi="仿宋_GB2312" w:eastAsia="仿宋_GB2312" w:cs="仿宋_GB2312"/>
          <w:b/>
          <w:bCs/>
          <w:color w:val="auto"/>
          <w:sz w:val="32"/>
          <w:szCs w:val="32"/>
          <w:highlight w:val="none"/>
          <w:u w:val="none"/>
          <w:lang w:eastAsia="zh-CN"/>
        </w:rPr>
        <w:t>境外参展</w:t>
      </w:r>
      <w:r>
        <w:rPr>
          <w:rFonts w:hint="eastAsia" w:ascii="仿宋_GB2312" w:hAnsi="仿宋_GB2312" w:eastAsia="仿宋_GB2312" w:cs="仿宋_GB2312"/>
          <w:b/>
          <w:bCs/>
          <w:color w:val="auto"/>
          <w:sz w:val="32"/>
          <w:szCs w:val="32"/>
          <w:highlight w:val="none"/>
          <w:u w:val="none"/>
          <w:lang w:eastAsia="zh-CN"/>
        </w:rPr>
        <w:t>方面，</w:t>
      </w:r>
      <w:r>
        <w:rPr>
          <w:rFonts w:hint="eastAsia" w:ascii="仿宋_GB2312" w:hAnsi="仿宋_GB2312" w:eastAsia="仿宋_GB2312" w:cs="仿宋_GB2312"/>
          <w:kern w:val="2"/>
          <w:sz w:val="32"/>
          <w:szCs w:val="32"/>
          <w:lang w:eastAsia="zh-CN" w:bidi="ar-SA"/>
        </w:rPr>
        <w:t>对组展单位组织企业参加境外展览重点项目给予展位费和承办费资助，</w:t>
      </w:r>
      <w:r>
        <w:rPr>
          <w:rFonts w:hint="default" w:ascii="仿宋_GB2312" w:hAnsi="仿宋_GB2312" w:eastAsia="仿宋_GB2312" w:cs="仿宋_GB2312"/>
          <w:sz w:val="32"/>
          <w:szCs w:val="32"/>
          <w:highlight w:val="none"/>
          <w:lang w:eastAsia="zh-CN"/>
        </w:rPr>
        <w:t>对重点企业参加境外展览的给予展位费用50%资金补贴</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b/>
          <w:bCs/>
          <w:color w:val="auto"/>
          <w:sz w:val="32"/>
          <w:szCs w:val="32"/>
          <w:highlight w:val="none"/>
          <w:u w:val="none"/>
          <w:lang w:val="en-US" w:eastAsia="zh-CN"/>
        </w:rPr>
        <w:t>在</w:t>
      </w:r>
      <w:r>
        <w:rPr>
          <w:rFonts w:hint="default" w:ascii="仿宋_GB2312" w:hAnsi="仿宋_GB2312" w:eastAsia="仿宋_GB2312" w:cs="仿宋_GB2312"/>
          <w:b/>
          <w:bCs/>
          <w:color w:val="auto"/>
          <w:sz w:val="32"/>
          <w:szCs w:val="32"/>
          <w:highlight w:val="none"/>
          <w:u w:val="none"/>
          <w:lang w:eastAsia="zh-CN"/>
        </w:rPr>
        <w:t>出口信用保险</w:t>
      </w:r>
      <w:r>
        <w:rPr>
          <w:rFonts w:hint="eastAsia" w:ascii="仿宋_GB2312" w:hAnsi="仿宋_GB2312" w:eastAsia="仿宋_GB2312" w:cs="仿宋_GB2312"/>
          <w:b/>
          <w:bCs/>
          <w:color w:val="auto"/>
          <w:sz w:val="32"/>
          <w:szCs w:val="32"/>
          <w:highlight w:val="none"/>
          <w:u w:val="none"/>
          <w:lang w:eastAsia="zh-CN"/>
        </w:rPr>
        <w:t>方面，</w:t>
      </w:r>
      <w:r>
        <w:rPr>
          <w:rFonts w:hint="default" w:ascii="仿宋_GB2312" w:hAnsi="仿宋_GB2312" w:eastAsia="仿宋_GB2312" w:cs="仿宋_GB2312"/>
          <w:sz w:val="32"/>
          <w:szCs w:val="32"/>
          <w:highlight w:val="none"/>
          <w:lang w:eastAsia="zh-CN"/>
        </w:rPr>
        <w:t>对企业投保出口信用保险的保费给于一定比例支持，同时为上一年出口额在800万美</w:t>
      </w:r>
      <w:r>
        <w:rPr>
          <w:rFonts w:hint="eastAsia" w:ascii="仿宋_GB2312" w:hAnsi="仿宋_GB2312" w:eastAsia="仿宋_GB2312" w:cs="仿宋_GB2312"/>
          <w:sz w:val="32"/>
          <w:szCs w:val="32"/>
          <w:highlight w:val="none"/>
          <w:lang w:eastAsia="zh-CN"/>
        </w:rPr>
        <w:t>元以下的我市外贸中小微企业统一投保出口信用保险。</w:t>
      </w:r>
    </w:p>
    <w:p>
      <w:pPr>
        <w:pStyle w:val="15"/>
        <w:keepNext w:val="0"/>
        <w:keepLines w:val="0"/>
        <w:pageBreakBefore w:val="0"/>
        <w:widowControl/>
        <w:suppressLineNumbers w:val="0"/>
        <w:kinsoku/>
        <w:wordWrap/>
        <w:overflowPunct/>
        <w:topLinePunct w:val="0"/>
        <w:autoSpaceDE/>
        <w:autoSpaceDN/>
        <w:bidi w:val="0"/>
        <w:adjustRightInd/>
        <w:snapToGrid/>
        <w:spacing w:beforeLines="0" w:afterLines="0" w:line="560" w:lineRule="exact"/>
        <w:ind w:firstLine="640" w:firstLineChars="200"/>
        <w:jc w:val="both"/>
        <w:textAlignment w:val="auto"/>
        <w:rPr>
          <w:rFonts w:hint="eastAsia" w:ascii="仿宋_GB2312" w:hAnsi="Times New Roman" w:eastAsia="仿宋_GB2312" w:cs="Times New Roman"/>
          <w:color w:val="auto"/>
          <w:sz w:val="32"/>
          <w:szCs w:val="32"/>
          <w:highlight w:val="none"/>
          <w:shd w:val="clear" w:fill="auto"/>
        </w:rPr>
      </w:pPr>
      <w:r>
        <w:rPr>
          <w:rFonts w:hint="eastAsia" w:ascii="仿宋_GB2312" w:hAnsi="Times New Roman" w:eastAsia="仿宋_GB2312" w:cs="Times New Roman"/>
          <w:color w:val="auto"/>
          <w:sz w:val="32"/>
          <w:szCs w:val="32"/>
          <w:highlight w:val="none"/>
          <w:shd w:val="clear" w:fill="auto"/>
          <w:lang w:eastAsia="zh-CN"/>
        </w:rPr>
        <w:t>下一步，</w:t>
      </w:r>
      <w:r>
        <w:rPr>
          <w:rFonts w:hint="eastAsia" w:ascii="仿宋_GB2312" w:hAnsi="Times New Roman" w:eastAsia="仿宋_GB2312" w:cs="Times New Roman"/>
          <w:i w:val="0"/>
          <w:iCs w:val="0"/>
          <w:caps w:val="0"/>
          <w:color w:val="auto"/>
          <w:spacing w:val="0"/>
          <w:sz w:val="32"/>
          <w:szCs w:val="32"/>
          <w:highlight w:val="none"/>
          <w:shd w:val="clear" w:fill="auto"/>
          <w:lang w:eastAsia="zh-CN"/>
        </w:rPr>
        <w:t>深圳市</w:t>
      </w:r>
      <w:r>
        <w:rPr>
          <w:rFonts w:hint="eastAsia" w:ascii="仿宋_GB2312" w:hAnsi="Times New Roman" w:eastAsia="仿宋_GB2312" w:cs="Times New Roman"/>
          <w:color w:val="auto"/>
          <w:sz w:val="32"/>
          <w:szCs w:val="32"/>
          <w:highlight w:val="none"/>
          <w:shd w:val="clear" w:fill="auto"/>
          <w:lang w:eastAsia="zh-CN"/>
        </w:rPr>
        <w:t>将继续落实好</w:t>
      </w:r>
      <w:r>
        <w:rPr>
          <w:rStyle w:val="12"/>
          <w:rFonts w:hint="eastAsia" w:ascii="仿宋_GB2312" w:hAnsi="Times New Roman" w:eastAsia="仿宋_GB2312" w:cs="Times New Roman"/>
          <w:i w:val="0"/>
          <w:iCs w:val="0"/>
          <w:caps w:val="0"/>
          <w:color w:val="auto"/>
          <w:spacing w:val="0"/>
          <w:sz w:val="32"/>
          <w:szCs w:val="32"/>
          <w:highlight w:val="none"/>
          <w:shd w:val="clear" w:fill="auto"/>
        </w:rPr>
        <w:t>国家</w:t>
      </w:r>
      <w:r>
        <w:rPr>
          <w:rFonts w:hint="eastAsia" w:ascii="仿宋_GB2312" w:hAnsi="Times New Roman" w:eastAsia="仿宋_GB2312" w:cs="Times New Roman"/>
          <w:i w:val="0"/>
          <w:iCs w:val="0"/>
          <w:caps w:val="0"/>
          <w:color w:val="auto"/>
          <w:spacing w:val="0"/>
          <w:sz w:val="32"/>
          <w:szCs w:val="32"/>
          <w:highlight w:val="none"/>
          <w:shd w:val="clear" w:fill="auto"/>
        </w:rPr>
        <w:t>、</w:t>
      </w:r>
      <w:r>
        <w:rPr>
          <w:rStyle w:val="12"/>
          <w:rFonts w:hint="eastAsia" w:ascii="仿宋_GB2312" w:hAnsi="Times New Roman" w:eastAsia="仿宋_GB2312" w:cs="Times New Roman"/>
          <w:i w:val="0"/>
          <w:iCs w:val="0"/>
          <w:caps w:val="0"/>
          <w:color w:val="auto"/>
          <w:spacing w:val="0"/>
          <w:sz w:val="32"/>
          <w:szCs w:val="32"/>
          <w:highlight w:val="none"/>
          <w:shd w:val="clear" w:fill="auto"/>
        </w:rPr>
        <w:t>省级</w:t>
      </w:r>
      <w:r>
        <w:rPr>
          <w:rFonts w:hint="eastAsia" w:ascii="仿宋_GB2312" w:hAnsi="Times New Roman" w:eastAsia="仿宋_GB2312" w:cs="Times New Roman"/>
          <w:i w:val="0"/>
          <w:iCs w:val="0"/>
          <w:caps w:val="0"/>
          <w:color w:val="auto"/>
          <w:spacing w:val="0"/>
          <w:sz w:val="32"/>
          <w:szCs w:val="32"/>
          <w:highlight w:val="none"/>
          <w:shd w:val="clear" w:fill="auto"/>
          <w:lang w:eastAsia="zh-CN"/>
        </w:rPr>
        <w:t>和</w:t>
      </w:r>
      <w:r>
        <w:rPr>
          <w:rStyle w:val="12"/>
          <w:rFonts w:hint="eastAsia" w:ascii="仿宋_GB2312" w:hAnsi="Times New Roman" w:eastAsia="仿宋_GB2312" w:cs="Times New Roman"/>
          <w:i w:val="0"/>
          <w:iCs w:val="0"/>
          <w:caps w:val="0"/>
          <w:color w:val="auto"/>
          <w:spacing w:val="0"/>
          <w:sz w:val="32"/>
          <w:szCs w:val="32"/>
          <w:highlight w:val="none"/>
          <w:shd w:val="clear" w:fill="auto"/>
        </w:rPr>
        <w:t>市级</w:t>
      </w:r>
      <w:r>
        <w:rPr>
          <w:rFonts w:hint="eastAsia" w:ascii="仿宋_GB2312" w:hAnsi="Times New Roman" w:eastAsia="仿宋_GB2312" w:cs="Times New Roman"/>
          <w:color w:val="auto"/>
          <w:sz w:val="32"/>
          <w:szCs w:val="32"/>
          <w:highlight w:val="none"/>
          <w:shd w:val="clear" w:fill="auto"/>
          <w:lang w:eastAsia="zh-CN"/>
        </w:rPr>
        <w:t>相关政策，研究优化相关政策措施，确保企业及时获得资金资助，</w:t>
      </w:r>
      <w:r>
        <w:rPr>
          <w:rFonts w:hint="eastAsia" w:ascii="仿宋_GB2312" w:hAnsi="Times New Roman" w:eastAsia="仿宋_GB2312" w:cs="Times New Roman"/>
          <w:color w:val="auto"/>
          <w:sz w:val="32"/>
          <w:szCs w:val="32"/>
          <w:highlight w:val="none"/>
          <w:shd w:val="clear" w:fill="auto"/>
          <w:lang w:val="en-US" w:eastAsia="zh-CN"/>
        </w:rPr>
        <w:t>更好支持企业“走出去”</w:t>
      </w:r>
      <w:r>
        <w:rPr>
          <w:rFonts w:hint="eastAsia" w:ascii="仿宋_GB2312" w:hAnsi="Times New Roman" w:eastAsia="仿宋_GB2312" w:cs="Times New Roman"/>
          <w:color w:val="auto"/>
          <w:sz w:val="32"/>
          <w:szCs w:val="32"/>
          <w:highlight w:val="none"/>
          <w:shd w:val="clear" w:fill="auto"/>
          <w:lang w:eastAsia="zh-CN"/>
        </w:rPr>
        <w:t>。</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firstLine="645"/>
        <w:textAlignment w:val="auto"/>
        <w:rPr>
          <w:rFonts w:hint="eastAsia" w:ascii="黑体" w:hAnsi="黑体" w:eastAsia="黑体"/>
          <w:sz w:val="32"/>
          <w:szCs w:val="32"/>
        </w:rPr>
      </w:pPr>
      <w:r>
        <w:rPr>
          <w:rFonts w:hint="eastAsia" w:ascii="黑体" w:hAnsi="黑体" w:eastAsia="黑体"/>
          <w:sz w:val="32"/>
          <w:szCs w:val="32"/>
          <w:lang w:eastAsia="zh-CN"/>
        </w:rPr>
        <w:t>四</w:t>
      </w:r>
      <w:r>
        <w:rPr>
          <w:rFonts w:hint="default" w:ascii="黑体" w:hAnsi="黑体" w:eastAsia="黑体"/>
          <w:sz w:val="32"/>
          <w:szCs w:val="32"/>
        </w:rPr>
        <w:t>、关于“</w:t>
      </w:r>
      <w:r>
        <w:rPr>
          <w:rFonts w:ascii="黑体" w:hAnsi="黑体" w:eastAsia="黑体"/>
          <w:color w:val="auto"/>
          <w:sz w:val="32"/>
          <w:szCs w:val="32"/>
        </w:rPr>
        <w:t>系统化开展</w:t>
      </w:r>
      <w:r>
        <w:rPr>
          <w:rFonts w:hint="default" w:ascii="黑体" w:hAnsi="黑体" w:eastAsia="黑体"/>
          <w:sz w:val="32"/>
          <w:szCs w:val="32"/>
          <w:lang w:eastAsia="zh-CN"/>
        </w:rPr>
        <w:t>‘</w:t>
      </w:r>
      <w:r>
        <w:rPr>
          <w:rFonts w:hint="eastAsia" w:ascii="黑体" w:hAnsi="黑体" w:eastAsia="黑体"/>
          <w:sz w:val="32"/>
          <w:szCs w:val="32"/>
        </w:rPr>
        <w:t>走出去</w:t>
      </w:r>
      <w:r>
        <w:rPr>
          <w:rFonts w:hint="default" w:ascii="黑体" w:hAnsi="黑体" w:eastAsia="黑体"/>
          <w:sz w:val="32"/>
          <w:szCs w:val="32"/>
          <w:lang w:eastAsia="zh-CN"/>
        </w:rPr>
        <w:t>’</w:t>
      </w:r>
      <w:r>
        <w:rPr>
          <w:rFonts w:ascii="黑体" w:hAnsi="黑体" w:eastAsia="黑体"/>
          <w:color w:val="auto"/>
          <w:sz w:val="32"/>
          <w:szCs w:val="32"/>
        </w:rPr>
        <w:t>政策规则相关培训</w:t>
      </w:r>
      <w:r>
        <w:rPr>
          <w:rFonts w:hint="default" w:ascii="黑体" w:hAnsi="黑体" w:eastAsia="黑体"/>
          <w:sz w:val="32"/>
          <w:szCs w:val="32"/>
        </w:rPr>
        <w:t>”</w:t>
      </w:r>
      <w:r>
        <w:rPr>
          <w:rFonts w:hint="eastAsia" w:ascii="黑体" w:hAnsi="黑体" w:eastAsia="黑体"/>
          <w:sz w:val="32"/>
          <w:szCs w:val="32"/>
        </w:rPr>
        <w:t>建议</w:t>
      </w:r>
    </w:p>
    <w:p>
      <w:pPr>
        <w:pStyle w:val="15"/>
        <w:keepNext w:val="0"/>
        <w:keepLines w:val="0"/>
        <w:pageBreakBefore w:val="0"/>
        <w:widowControl/>
        <w:kinsoku/>
        <w:wordWrap/>
        <w:overflowPunct/>
        <w:topLinePunct w:val="0"/>
        <w:autoSpaceDE/>
        <w:autoSpaceDN/>
        <w:bidi w:val="0"/>
        <w:adjustRightInd/>
        <w:snapToGrid/>
        <w:spacing w:beforeLines="0" w:afterLines="0" w:line="560" w:lineRule="exact"/>
        <w:ind w:firstLine="640"/>
        <w:textAlignment w:val="auto"/>
        <w:rPr>
          <w:rFonts w:hint="eastAsia" w:ascii="仿宋_GB2312" w:hAnsi="Times New Roman" w:eastAsia="仿宋_GB2312" w:cs="Times New Roman"/>
          <w:i w:val="0"/>
          <w:iCs w:val="0"/>
          <w:caps w:val="0"/>
          <w:color w:val="auto"/>
          <w:spacing w:val="0"/>
          <w:sz w:val="32"/>
          <w:szCs w:val="32"/>
          <w:highlight w:val="none"/>
          <w:shd w:val="clear" w:fill="auto"/>
          <w:lang w:eastAsia="zh-CN"/>
        </w:rPr>
      </w:pPr>
      <w:r>
        <w:rPr>
          <w:rFonts w:hint="eastAsia" w:ascii="仿宋_GB2312" w:hAnsi="Times New Roman" w:eastAsia="仿宋_GB2312" w:cs="Times New Roman"/>
          <w:color w:val="auto"/>
          <w:kern w:val="2"/>
          <w:sz w:val="32"/>
          <w:szCs w:val="32"/>
          <w:highlight w:val="none"/>
          <w:shd w:val="clear" w:fill="auto"/>
          <w:lang w:val="en-US" w:eastAsia="zh-CN" w:bidi="ar"/>
        </w:rPr>
        <w:t>深圳市</w:t>
      </w:r>
      <w:r>
        <w:rPr>
          <w:rFonts w:hint="eastAsia" w:ascii="仿宋_GB2312" w:hAnsi="Times New Roman" w:eastAsia="仿宋_GB2312" w:cs="Times New Roman"/>
          <w:b w:val="0"/>
          <w:bCs w:val="0"/>
          <w:color w:val="auto"/>
          <w:sz w:val="32"/>
          <w:szCs w:val="32"/>
          <w:highlight w:val="none"/>
          <w:shd w:val="clear" w:fill="auto"/>
          <w:lang w:val="en-US" w:eastAsia="zh-CN"/>
        </w:rPr>
        <w:t>持续开展</w:t>
      </w:r>
      <w:r>
        <w:rPr>
          <w:rFonts w:hint="eastAsia" w:ascii="仿宋_GB2312" w:hAnsi="Times New Roman" w:eastAsia="仿宋_GB2312" w:cs="Times New Roman"/>
          <w:b w:val="0"/>
          <w:bCs w:val="0"/>
          <w:color w:val="auto"/>
          <w:sz w:val="32"/>
          <w:szCs w:val="32"/>
          <w:highlight w:val="none"/>
          <w:shd w:val="clear" w:fill="auto"/>
          <w:lang w:eastAsia="zh-CN"/>
        </w:rPr>
        <w:t>“走出去大讲堂”</w:t>
      </w:r>
      <w:r>
        <w:rPr>
          <w:rFonts w:hint="eastAsia" w:ascii="仿宋_GB2312" w:hAnsi="Times New Roman" w:eastAsia="仿宋_GB2312" w:cs="Times New Roman"/>
          <w:b w:val="0"/>
          <w:bCs w:val="0"/>
          <w:color w:val="auto"/>
          <w:sz w:val="32"/>
          <w:szCs w:val="32"/>
          <w:highlight w:val="none"/>
          <w:shd w:val="clear" w:fill="auto"/>
          <w:lang w:val="en-US" w:eastAsia="zh-CN"/>
        </w:rPr>
        <w:t>“政策规则助企行”</w:t>
      </w:r>
      <w:r>
        <w:rPr>
          <w:rFonts w:hint="eastAsia" w:ascii="仿宋_GB2312" w:hAnsi="Times New Roman" w:eastAsia="仿宋_GB2312" w:cs="Times New Roman"/>
          <w:color w:val="auto"/>
          <w:sz w:val="32"/>
          <w:szCs w:val="32"/>
          <w:highlight w:val="none"/>
          <w:shd w:val="clear" w:fill="auto"/>
          <w:lang w:val="en-US" w:eastAsia="zh-CN"/>
        </w:rPr>
        <w:t>“RCEP服务月”等培训活动，举办“企业国际化合规经营”</w:t>
      </w:r>
      <w:r>
        <w:rPr>
          <w:rFonts w:hint="eastAsia" w:ascii="仿宋_GB2312" w:hAnsi="Times New Roman" w:eastAsia="仿宋_GB2312" w:cs="Times New Roman"/>
          <w:color w:val="auto"/>
          <w:sz w:val="32"/>
          <w:szCs w:val="32"/>
          <w:highlight w:val="none"/>
          <w:shd w:val="clear" w:fill="auto"/>
          <w:lang w:eastAsia="zh-CN"/>
        </w:rPr>
        <w:t>等</w:t>
      </w:r>
      <w:r>
        <w:rPr>
          <w:rFonts w:hint="eastAsia" w:ascii="仿宋_GB2312" w:hAnsi="Times New Roman" w:eastAsia="仿宋_GB2312" w:cs="Times New Roman"/>
          <w:color w:val="auto"/>
          <w:sz w:val="32"/>
          <w:szCs w:val="32"/>
          <w:highlight w:val="none"/>
          <w:shd w:val="clear" w:fill="auto"/>
        </w:rPr>
        <w:t>专题讲座</w:t>
      </w:r>
      <w:r>
        <w:rPr>
          <w:rFonts w:hint="eastAsia" w:ascii="仿宋_GB2312" w:hAnsi="Times New Roman" w:eastAsia="仿宋_GB2312" w:cs="Times New Roman"/>
          <w:color w:val="auto"/>
          <w:sz w:val="32"/>
          <w:szCs w:val="32"/>
          <w:highlight w:val="none"/>
          <w:shd w:val="clear" w:fill="auto"/>
          <w:lang w:eastAsia="zh-CN"/>
        </w:rPr>
        <w:t>，</w:t>
      </w:r>
      <w:r>
        <w:rPr>
          <w:rFonts w:hint="eastAsia" w:ascii="仿宋_GB2312" w:hAnsi="Times New Roman" w:eastAsia="仿宋_GB2312" w:cs="Times New Roman"/>
          <w:b w:val="0"/>
          <w:bCs w:val="0"/>
          <w:color w:val="auto"/>
          <w:sz w:val="32"/>
          <w:szCs w:val="32"/>
          <w:highlight w:val="none"/>
          <w:shd w:val="clear" w:fill="auto"/>
          <w:lang w:eastAsia="zh-CN"/>
        </w:rPr>
        <w:t>邀请</w:t>
      </w:r>
      <w:r>
        <w:rPr>
          <w:rFonts w:hint="eastAsia" w:ascii="仿宋_GB2312" w:hAnsi="Times New Roman" w:eastAsia="仿宋_GB2312" w:cs="Times New Roman"/>
          <w:color w:val="auto"/>
          <w:sz w:val="32"/>
          <w:szCs w:val="32"/>
          <w:highlight w:val="none"/>
          <w:shd w:val="clear" w:fill="auto"/>
          <w:lang w:val="en-US" w:eastAsia="zh-CN"/>
        </w:rPr>
        <w:t>专家学者、</w:t>
      </w:r>
      <w:r>
        <w:rPr>
          <w:rFonts w:hint="eastAsia" w:ascii="仿宋_GB2312" w:hAnsi="Times New Roman" w:eastAsia="仿宋_GB2312" w:cs="Times New Roman"/>
          <w:b w:val="0"/>
          <w:bCs w:val="0"/>
          <w:color w:val="auto"/>
          <w:sz w:val="32"/>
          <w:szCs w:val="32"/>
          <w:highlight w:val="none"/>
          <w:shd w:val="clear" w:fill="auto"/>
          <w:lang w:eastAsia="zh-CN"/>
        </w:rPr>
        <w:t>知名专业服务机构等就</w:t>
      </w:r>
      <w:r>
        <w:rPr>
          <w:rFonts w:hint="eastAsia" w:ascii="仿宋_GB2312" w:hAnsi="Times New Roman" w:eastAsia="仿宋_GB2312" w:cs="Times New Roman"/>
          <w:b w:val="0"/>
          <w:bCs w:val="0"/>
          <w:color w:val="auto"/>
          <w:sz w:val="32"/>
          <w:szCs w:val="32"/>
          <w:highlight w:val="none"/>
          <w:shd w:val="clear" w:fill="auto"/>
          <w:lang w:val="en-US" w:eastAsia="zh-CN"/>
        </w:rPr>
        <w:t>国别贸易投资规则</w:t>
      </w:r>
      <w:r>
        <w:rPr>
          <w:rFonts w:hint="eastAsia" w:ascii="仿宋_GB2312" w:hAnsi="Times New Roman" w:eastAsia="仿宋_GB2312" w:cs="Times New Roman"/>
          <w:color w:val="auto"/>
          <w:sz w:val="32"/>
          <w:szCs w:val="32"/>
          <w:highlight w:val="none"/>
          <w:shd w:val="clear" w:fill="auto"/>
        </w:rPr>
        <w:t>、</w:t>
      </w:r>
      <w:r>
        <w:rPr>
          <w:rFonts w:hint="eastAsia" w:ascii="仿宋_GB2312" w:hAnsi="Times New Roman" w:eastAsia="仿宋_GB2312" w:cs="Times New Roman"/>
          <w:b w:val="0"/>
          <w:bCs w:val="0"/>
          <w:color w:val="auto"/>
          <w:sz w:val="32"/>
          <w:szCs w:val="32"/>
          <w:highlight w:val="none"/>
          <w:shd w:val="clear" w:fill="auto"/>
          <w:lang w:val="en-US" w:eastAsia="zh-CN"/>
        </w:rPr>
        <w:t>企业出海风险防范、企业合规建设</w:t>
      </w:r>
      <w:r>
        <w:rPr>
          <w:rFonts w:hint="eastAsia" w:ascii="仿宋_GB2312" w:hAnsi="Times New Roman" w:eastAsia="仿宋_GB2312" w:cs="Times New Roman"/>
          <w:color w:val="auto"/>
          <w:sz w:val="32"/>
          <w:szCs w:val="32"/>
          <w:highlight w:val="none"/>
          <w:shd w:val="clear" w:fill="auto"/>
        </w:rPr>
        <w:t>等我市企业</w:t>
      </w:r>
      <w:r>
        <w:rPr>
          <w:rFonts w:hint="eastAsia" w:ascii="仿宋_GB2312" w:hAnsi="Times New Roman" w:eastAsia="仿宋_GB2312" w:cs="Times New Roman"/>
          <w:color w:val="auto"/>
          <w:sz w:val="32"/>
          <w:szCs w:val="32"/>
          <w:highlight w:val="none"/>
          <w:shd w:val="clear" w:fill="auto"/>
          <w:lang w:eastAsia="zh-CN"/>
        </w:rPr>
        <w:t>高度</w:t>
      </w:r>
      <w:r>
        <w:rPr>
          <w:rFonts w:hint="eastAsia" w:ascii="仿宋_GB2312" w:hAnsi="Times New Roman" w:eastAsia="仿宋_GB2312" w:cs="Times New Roman"/>
          <w:color w:val="auto"/>
          <w:sz w:val="32"/>
          <w:szCs w:val="32"/>
          <w:highlight w:val="none"/>
          <w:shd w:val="clear" w:fill="auto"/>
        </w:rPr>
        <w:t>关注的</w:t>
      </w:r>
      <w:r>
        <w:rPr>
          <w:rFonts w:hint="eastAsia" w:ascii="仿宋_GB2312" w:hAnsi="Times New Roman" w:eastAsia="仿宋_GB2312" w:cs="Times New Roman"/>
          <w:color w:val="auto"/>
          <w:sz w:val="32"/>
          <w:szCs w:val="32"/>
          <w:highlight w:val="none"/>
          <w:shd w:val="clear" w:fill="auto"/>
          <w:lang w:eastAsia="zh-CN"/>
        </w:rPr>
        <w:t>主题</w:t>
      </w:r>
      <w:r>
        <w:rPr>
          <w:rFonts w:hint="eastAsia" w:ascii="仿宋_GB2312" w:hAnsi="Times New Roman" w:eastAsia="仿宋_GB2312" w:cs="Times New Roman"/>
          <w:b w:val="0"/>
          <w:bCs w:val="0"/>
          <w:color w:val="auto"/>
          <w:sz w:val="32"/>
          <w:szCs w:val="32"/>
          <w:highlight w:val="none"/>
          <w:shd w:val="clear" w:fill="auto"/>
          <w:lang w:eastAsia="zh-CN"/>
        </w:rPr>
        <w:t>进行授课，</w:t>
      </w:r>
      <w:r>
        <w:rPr>
          <w:rFonts w:hint="eastAsia" w:ascii="仿宋_GB2312" w:hAnsi="Times New Roman" w:eastAsia="仿宋_GB2312" w:cs="Times New Roman"/>
          <w:color w:val="auto"/>
          <w:sz w:val="32"/>
          <w:szCs w:val="32"/>
          <w:highlight w:val="none"/>
          <w:shd w:val="clear" w:fill="auto"/>
          <w:lang w:eastAsia="zh-CN"/>
        </w:rPr>
        <w:t>“滴灌式”</w:t>
      </w:r>
      <w:r>
        <w:rPr>
          <w:rFonts w:hint="eastAsia" w:ascii="仿宋_GB2312" w:hAnsi="Times New Roman" w:eastAsia="仿宋_GB2312" w:cs="Times New Roman"/>
          <w:color w:val="auto"/>
          <w:sz w:val="32"/>
          <w:szCs w:val="32"/>
          <w:highlight w:val="none"/>
          <w:shd w:val="clear" w:fill="auto"/>
          <w:lang w:val="en-US" w:eastAsia="zh-CN"/>
        </w:rPr>
        <w:t>开展政策宣讲和案例分享</w:t>
      </w:r>
      <w:r>
        <w:rPr>
          <w:rFonts w:hint="eastAsia" w:ascii="仿宋_GB2312" w:hAnsi="Times New Roman" w:eastAsia="仿宋_GB2312" w:cs="Times New Roman"/>
          <w:color w:val="auto"/>
          <w:sz w:val="32"/>
          <w:szCs w:val="32"/>
          <w:highlight w:val="none"/>
          <w:shd w:val="clear" w:fill="auto"/>
          <w:lang w:eastAsia="zh-CN"/>
        </w:rPr>
        <w:t>，</w:t>
      </w:r>
      <w:r>
        <w:rPr>
          <w:rFonts w:hint="eastAsia" w:ascii="仿宋_GB2312" w:hAnsi="Times New Roman" w:eastAsia="仿宋_GB2312" w:cs="Times New Roman"/>
          <w:i w:val="0"/>
          <w:iCs w:val="0"/>
          <w:caps w:val="0"/>
          <w:color w:val="auto"/>
          <w:spacing w:val="0"/>
          <w:sz w:val="32"/>
          <w:szCs w:val="32"/>
          <w:highlight w:val="none"/>
          <w:shd w:val="clear" w:fill="auto"/>
        </w:rPr>
        <w:t>通过召开座谈会、走访调研</w:t>
      </w:r>
      <w:r>
        <w:rPr>
          <w:rFonts w:hint="eastAsia" w:ascii="仿宋_GB2312" w:hAnsi="Times New Roman" w:eastAsia="仿宋_GB2312" w:cs="Times New Roman"/>
          <w:i w:val="0"/>
          <w:iCs w:val="0"/>
          <w:caps w:val="0"/>
          <w:color w:val="auto"/>
          <w:spacing w:val="0"/>
          <w:sz w:val="32"/>
          <w:szCs w:val="32"/>
          <w:highlight w:val="none"/>
          <w:shd w:val="clear" w:fill="auto"/>
          <w:lang w:eastAsia="zh-CN"/>
        </w:rPr>
        <w:t>等方式</w:t>
      </w:r>
      <w:r>
        <w:rPr>
          <w:rFonts w:hint="eastAsia" w:ascii="仿宋_GB2312" w:hAnsi="Times New Roman" w:eastAsia="仿宋_GB2312" w:cs="Times New Roman"/>
          <w:i w:val="0"/>
          <w:iCs w:val="0"/>
          <w:caps w:val="0"/>
          <w:color w:val="auto"/>
          <w:spacing w:val="0"/>
          <w:sz w:val="32"/>
          <w:szCs w:val="32"/>
          <w:highlight w:val="none"/>
          <w:shd w:val="clear" w:fill="auto"/>
        </w:rPr>
        <w:t>持续为企业提供政策解读、合规指引</w:t>
      </w:r>
      <w:r>
        <w:rPr>
          <w:rFonts w:hint="eastAsia" w:ascii="仿宋_GB2312" w:hAnsi="Times New Roman" w:eastAsia="仿宋_GB2312" w:cs="Times New Roman"/>
          <w:i w:val="0"/>
          <w:iCs w:val="0"/>
          <w:caps w:val="0"/>
          <w:color w:val="auto"/>
          <w:spacing w:val="0"/>
          <w:sz w:val="32"/>
          <w:szCs w:val="32"/>
          <w:highlight w:val="none"/>
          <w:shd w:val="clear" w:fill="auto"/>
          <w:lang w:eastAsia="zh-CN"/>
        </w:rPr>
        <w:t>等服务，</w:t>
      </w:r>
      <w:r>
        <w:rPr>
          <w:rFonts w:hint="eastAsia" w:ascii="仿宋_GB2312" w:hAnsi="Times New Roman" w:eastAsia="仿宋_GB2312" w:cs="Times New Roman"/>
          <w:i w:val="0"/>
          <w:iCs w:val="0"/>
          <w:caps w:val="0"/>
          <w:color w:val="auto"/>
          <w:spacing w:val="0"/>
          <w:sz w:val="32"/>
          <w:szCs w:val="32"/>
          <w:highlight w:val="none"/>
          <w:shd w:val="clear" w:fill="auto"/>
        </w:rPr>
        <w:t>帮助企业把握投资发展机遇、加强海外合规管理和提升风险防范能力，护航企业更好“走出去”。</w:t>
      </w:r>
    </w:p>
    <w:p>
      <w:pPr>
        <w:pStyle w:val="15"/>
        <w:spacing w:beforeLines="0" w:afterLines="0" w:line="560" w:lineRule="exact"/>
        <w:ind w:firstLine="0"/>
        <w:rPr>
          <w:rFonts w:hint="eastAsia" w:ascii="仿宋_GB2312" w:hAnsi="Times New Roman" w:eastAsia="仿宋_GB2312" w:cs="Times New Roman"/>
          <w:color w:val="auto"/>
          <w:kern w:val="2"/>
          <w:sz w:val="32"/>
          <w:szCs w:val="32"/>
          <w:highlight w:val="none"/>
          <w:shd w:val="clear" w:fill="auto"/>
          <w:lang w:val="en-US" w:eastAsia="zh-CN" w:bidi="ar"/>
        </w:rPr>
      </w:pPr>
      <w:r>
        <w:rPr>
          <w:rFonts w:hint="eastAsia" w:ascii="仿宋_GB2312" w:hAnsi="仿宋_GB2312" w:eastAsia="仿宋_GB2312" w:cs="仿宋_GB2312"/>
          <w:i w:val="0"/>
          <w:iCs w:val="0"/>
          <w:caps w:val="0"/>
          <w:color w:val="auto"/>
          <w:spacing w:val="0"/>
          <w:sz w:val="32"/>
          <w:szCs w:val="32"/>
          <w:highlight w:val="none"/>
          <w:shd w:val="clear" w:fill="auto"/>
          <w:lang w:eastAsia="zh-CN"/>
        </w:rPr>
        <w:t>下一步，深圳市将继续</w:t>
      </w:r>
      <w:r>
        <w:rPr>
          <w:rFonts w:hint="eastAsia" w:ascii="仿宋_GB2312" w:hAnsi="仿宋_GB2312" w:eastAsia="仿宋_GB2312" w:cs="仿宋_GB2312"/>
          <w:b w:val="0"/>
          <w:bCs w:val="0"/>
          <w:color w:val="auto"/>
          <w:sz w:val="32"/>
          <w:szCs w:val="32"/>
          <w:lang w:eastAsia="zh-CN"/>
        </w:rPr>
        <w:t>开展多层次、系统化</w:t>
      </w:r>
      <w:r>
        <w:rPr>
          <w:rFonts w:hint="eastAsia" w:ascii="仿宋_GB2312" w:hAnsi="仿宋_GB2312" w:eastAsia="仿宋_GB2312" w:cs="仿宋_GB2312"/>
          <w:b w:val="0"/>
          <w:bCs w:val="0"/>
          <w:color w:val="auto"/>
          <w:sz w:val="32"/>
          <w:szCs w:val="32"/>
          <w:highlight w:val="none"/>
          <w:shd w:val="clear" w:fill="auto"/>
          <w:lang w:eastAsia="zh-CN"/>
        </w:rPr>
        <w:t>的</w:t>
      </w:r>
      <w:r>
        <w:rPr>
          <w:rFonts w:hint="eastAsia" w:ascii="仿宋_GB2312" w:hAnsi="仿宋_GB2312" w:eastAsia="仿宋_GB2312" w:cs="仿宋_GB2312"/>
          <w:b w:val="0"/>
          <w:bCs w:val="0"/>
          <w:i w:val="0"/>
          <w:iCs w:val="0"/>
          <w:caps w:val="0"/>
          <w:color w:val="auto"/>
          <w:spacing w:val="0"/>
          <w:sz w:val="32"/>
          <w:szCs w:val="32"/>
          <w:shd w:val="clear" w:fill="FFFFFF"/>
        </w:rPr>
        <w:t>企业</w:t>
      </w:r>
      <w:r>
        <w:rPr>
          <w:rFonts w:hint="eastAsia" w:ascii="仿宋_GB2312" w:hAnsi="仿宋_GB2312" w:eastAsia="仿宋_GB2312" w:cs="仿宋_GB2312"/>
          <w:b w:val="0"/>
          <w:bCs w:val="0"/>
          <w:i w:val="0"/>
          <w:iCs w:val="0"/>
          <w:caps w:val="0"/>
          <w:color w:val="auto"/>
          <w:spacing w:val="0"/>
          <w:sz w:val="32"/>
          <w:szCs w:val="32"/>
          <w:highlight w:val="none"/>
          <w:shd w:val="clear" w:fill="auto"/>
          <w:lang w:eastAsia="zh-CN"/>
        </w:rPr>
        <w:t>“</w:t>
      </w:r>
      <w:r>
        <w:rPr>
          <w:rFonts w:hint="eastAsia" w:ascii="仿宋_GB2312" w:hAnsi="仿宋_GB2312" w:eastAsia="仿宋_GB2312" w:cs="仿宋_GB2312"/>
          <w:b w:val="0"/>
          <w:bCs w:val="0"/>
          <w:i w:val="0"/>
          <w:iCs w:val="0"/>
          <w:caps w:val="0"/>
          <w:color w:val="auto"/>
          <w:spacing w:val="0"/>
          <w:sz w:val="32"/>
          <w:szCs w:val="32"/>
          <w:highlight w:val="none"/>
          <w:shd w:val="clear" w:fill="auto"/>
        </w:rPr>
        <w:t>出海</w:t>
      </w:r>
      <w:r>
        <w:rPr>
          <w:rFonts w:hint="eastAsia" w:ascii="仿宋_GB2312" w:hAnsi="仿宋_GB2312" w:eastAsia="仿宋_GB2312" w:cs="仿宋_GB2312"/>
          <w:b w:val="0"/>
          <w:bCs w:val="0"/>
          <w:i w:val="0"/>
          <w:iCs w:val="0"/>
          <w:caps w:val="0"/>
          <w:color w:val="auto"/>
          <w:spacing w:val="0"/>
          <w:sz w:val="32"/>
          <w:szCs w:val="32"/>
          <w:highlight w:val="none"/>
          <w:shd w:val="clear" w:fill="auto"/>
          <w:lang w:eastAsia="zh-CN"/>
        </w:rPr>
        <w:t>”</w:t>
      </w:r>
      <w:r>
        <w:rPr>
          <w:rFonts w:hint="eastAsia" w:ascii="仿宋_GB2312" w:hAnsi="Times New Roman" w:eastAsia="仿宋_GB2312" w:cs="Times New Roman"/>
          <w:b w:val="0"/>
          <w:bCs w:val="0"/>
          <w:i w:val="0"/>
          <w:iCs w:val="0"/>
          <w:caps w:val="0"/>
          <w:color w:val="auto"/>
          <w:spacing w:val="0"/>
          <w:sz w:val="32"/>
          <w:szCs w:val="32"/>
          <w:highlight w:val="none"/>
          <w:shd w:val="clear" w:fill="auto"/>
        </w:rPr>
        <w:t>培训交流活动</w:t>
      </w:r>
      <w:r>
        <w:rPr>
          <w:rFonts w:hint="eastAsia" w:ascii="仿宋_GB2312" w:hAnsi="Times New Roman" w:eastAsia="仿宋_GB2312" w:cs="Times New Roman"/>
          <w:b w:val="0"/>
          <w:bCs w:val="0"/>
          <w:color w:val="auto"/>
          <w:sz w:val="32"/>
          <w:szCs w:val="32"/>
          <w:highlight w:val="none"/>
          <w:shd w:val="clear" w:fill="auto"/>
          <w:lang w:eastAsia="zh-CN"/>
        </w:rPr>
        <w:t>，</w:t>
      </w:r>
      <w:r>
        <w:rPr>
          <w:rStyle w:val="12"/>
          <w:rFonts w:hint="eastAsia" w:ascii="仿宋_GB2312" w:hAnsi="Times New Roman" w:eastAsia="仿宋_GB2312" w:cs="Times New Roman"/>
          <w:i w:val="0"/>
          <w:iCs w:val="0"/>
          <w:caps w:val="0"/>
          <w:color w:val="auto"/>
          <w:spacing w:val="0"/>
          <w:sz w:val="32"/>
          <w:szCs w:val="32"/>
          <w:highlight w:val="none"/>
          <w:shd w:val="clear" w:fill="auto"/>
        </w:rPr>
        <w:t>加大</w:t>
      </w:r>
      <w:r>
        <w:rPr>
          <w:rFonts w:hint="eastAsia" w:ascii="仿宋_GB2312" w:hAnsi="Times New Roman" w:eastAsia="仿宋_GB2312" w:cs="Times New Roman"/>
          <w:i w:val="0"/>
          <w:iCs w:val="0"/>
          <w:caps w:val="0"/>
          <w:color w:val="auto"/>
          <w:spacing w:val="0"/>
          <w:sz w:val="32"/>
          <w:szCs w:val="32"/>
          <w:highlight w:val="none"/>
          <w:shd w:val="clear" w:fill="auto"/>
        </w:rPr>
        <w:t>政策</w:t>
      </w:r>
      <w:r>
        <w:rPr>
          <w:rStyle w:val="12"/>
          <w:rFonts w:hint="eastAsia" w:ascii="仿宋_GB2312" w:hAnsi="Times New Roman" w:eastAsia="仿宋_GB2312" w:cs="Times New Roman"/>
          <w:i w:val="0"/>
          <w:iCs w:val="0"/>
          <w:caps w:val="0"/>
          <w:color w:val="auto"/>
          <w:spacing w:val="0"/>
          <w:sz w:val="32"/>
          <w:szCs w:val="32"/>
          <w:highlight w:val="none"/>
          <w:shd w:val="clear" w:fill="auto"/>
        </w:rPr>
        <w:t>宣传及</w:t>
      </w:r>
      <w:r>
        <w:rPr>
          <w:rFonts w:hint="eastAsia" w:ascii="仿宋_GB2312" w:hAnsi="Times New Roman" w:eastAsia="仿宋_GB2312" w:cs="Times New Roman"/>
          <w:i w:val="0"/>
          <w:iCs w:val="0"/>
          <w:caps w:val="0"/>
          <w:color w:val="auto"/>
          <w:spacing w:val="0"/>
          <w:sz w:val="32"/>
          <w:szCs w:val="32"/>
          <w:highlight w:val="none"/>
          <w:shd w:val="clear" w:fill="auto"/>
        </w:rPr>
        <w:t>服务</w:t>
      </w:r>
      <w:r>
        <w:rPr>
          <w:rStyle w:val="12"/>
          <w:rFonts w:hint="eastAsia" w:ascii="仿宋_GB2312" w:hAnsi="Times New Roman" w:eastAsia="仿宋_GB2312" w:cs="Times New Roman"/>
          <w:i w:val="0"/>
          <w:iCs w:val="0"/>
          <w:caps w:val="0"/>
          <w:color w:val="auto"/>
          <w:spacing w:val="0"/>
          <w:sz w:val="32"/>
          <w:szCs w:val="32"/>
          <w:highlight w:val="none"/>
          <w:shd w:val="clear" w:fill="auto"/>
        </w:rPr>
        <w:t>指导力度</w:t>
      </w:r>
      <w:r>
        <w:rPr>
          <w:rFonts w:hint="eastAsia" w:ascii="仿宋_GB2312" w:hAnsi="Times New Roman" w:eastAsia="仿宋_GB2312" w:cs="Times New Roman"/>
          <w:i w:val="0"/>
          <w:iCs w:val="0"/>
          <w:caps w:val="0"/>
          <w:color w:val="auto"/>
          <w:spacing w:val="0"/>
          <w:sz w:val="32"/>
          <w:szCs w:val="32"/>
          <w:highlight w:val="none"/>
          <w:shd w:val="clear" w:fill="auto"/>
          <w:lang w:eastAsia="zh-CN"/>
        </w:rPr>
        <w:t>，进一步提升企业对对外投资合作风险的管控能力，助力企业稳妥开展跨国业务，</w:t>
      </w:r>
      <w:r>
        <w:rPr>
          <w:rFonts w:hint="eastAsia" w:ascii="仿宋_GB2312" w:hAnsi="Times New Roman" w:eastAsia="仿宋_GB2312" w:cs="Times New Roman"/>
          <w:i w:val="0"/>
          <w:iCs w:val="0"/>
          <w:caps w:val="0"/>
          <w:color w:val="auto"/>
          <w:spacing w:val="0"/>
          <w:sz w:val="32"/>
          <w:szCs w:val="32"/>
          <w:highlight w:val="none"/>
          <w:shd w:val="clear" w:fill="auto"/>
        </w:rPr>
        <w:t>在全球市场行稳致远</w:t>
      </w:r>
      <w:r>
        <w:rPr>
          <w:rFonts w:hint="eastAsia" w:ascii="仿宋_GB2312" w:hAnsi="Times New Roman" w:eastAsia="仿宋_GB2312" w:cs="Times New Roman"/>
          <w:i w:val="0"/>
          <w:iCs w:val="0"/>
          <w:caps w:val="0"/>
          <w:color w:val="auto"/>
          <w:spacing w:val="0"/>
          <w:sz w:val="32"/>
          <w:szCs w:val="32"/>
          <w:highlight w:val="none"/>
          <w:shd w:val="clear" w:fill="auto"/>
          <w:lang w:eastAsia="zh-CN"/>
        </w:rPr>
        <w:t>。</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firstLine="645"/>
        <w:textAlignment w:val="auto"/>
        <w:rPr>
          <w:rFonts w:ascii="仿宋_GB2312" w:eastAsia="仿宋_GB2312"/>
          <w:sz w:val="32"/>
          <w:szCs w:val="32"/>
        </w:rPr>
      </w:pPr>
      <w:r>
        <w:rPr>
          <w:rFonts w:hint="eastAsia" w:ascii="仿宋_GB2312" w:hAnsi="宋体" w:eastAsia="仿宋_GB2312" w:cs="仿宋_GB2312"/>
          <w:color w:val="auto"/>
          <w:kern w:val="0"/>
          <w:sz w:val="32"/>
          <w:szCs w:val="32"/>
          <w:highlight w:val="none"/>
          <w:lang w:val="en-US" w:eastAsia="zh-CN" w:bidi="ar"/>
        </w:rPr>
        <w:t>专此答复。</w:t>
      </w:r>
      <w:r>
        <w:rPr>
          <w:rFonts w:ascii="仿宋_GB2312" w:eastAsia="仿宋_GB2312"/>
          <w:color w:val="auto"/>
          <w:sz w:val="32"/>
          <w:szCs w:val="32"/>
        </w:rPr>
        <w:t>感谢您对我市对外投资</w:t>
      </w:r>
      <w:r>
        <w:rPr>
          <w:rFonts w:hint="eastAsia" w:ascii="仿宋_GB2312" w:eastAsia="仿宋_GB2312"/>
          <w:color w:val="auto"/>
          <w:sz w:val="32"/>
          <w:szCs w:val="32"/>
          <w:lang w:eastAsia="zh-CN"/>
        </w:rPr>
        <w:t>合作</w:t>
      </w:r>
      <w:r>
        <w:rPr>
          <w:rFonts w:ascii="仿宋_GB2312" w:eastAsia="仿宋_GB2312"/>
          <w:color w:val="auto"/>
          <w:sz w:val="32"/>
          <w:szCs w:val="32"/>
        </w:rPr>
        <w:t>工作的关注与支持！</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firstLine="645"/>
        <w:textAlignment w:val="auto"/>
        <w:rPr>
          <w:rFonts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firstLine="645"/>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right="0" w:firstLine="5760" w:firstLineChars="18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深圳市商务局</w:t>
      </w:r>
    </w:p>
    <w:p>
      <w:pPr>
        <w:keepNext w:val="0"/>
        <w:keepLines w:val="0"/>
        <w:pageBreakBefore w:val="0"/>
        <w:widowControl w:val="0"/>
        <w:kinsoku/>
        <w:wordWrap/>
        <w:overflowPunct/>
        <w:topLinePunct w:val="0"/>
        <w:autoSpaceDE/>
        <w:autoSpaceDN/>
        <w:bidi w:val="0"/>
        <w:spacing w:line="560" w:lineRule="exact"/>
        <w:ind w:firstLine="5440" w:firstLineChars="1700"/>
        <w:textAlignment w:val="auto"/>
        <w:rPr>
          <w:rFonts w:hint="eastAsia" w:ascii="仿宋_GB2312" w:hAnsi="仿宋_GB2312" w:eastAsia="仿宋_GB2312" w:cs="仿宋_GB2312"/>
          <w:sz w:val="32"/>
          <w:szCs w:val="32"/>
        </w:rPr>
      </w:pPr>
      <w:r>
        <w:rPr>
          <w:rFonts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lang w:val="en-US" w:eastAsia="zh-CN"/>
        </w:rPr>
      </w:pPr>
    </w:p>
    <w:p>
      <w:pPr>
        <w:pStyle w:val="5"/>
        <w:keepNext w:val="0"/>
        <w:keepLines w:val="0"/>
        <w:pageBreakBefore w:val="0"/>
        <w:kinsoku/>
        <w:wordWrap/>
        <w:topLinePunct w:val="0"/>
        <w:bidi w:val="0"/>
        <w:spacing w:line="560" w:lineRule="exact"/>
      </w:pPr>
      <w:bookmarkStart w:id="1" w:name="_GoBack"/>
      <w:bookmarkEnd w:id="1"/>
    </w:p>
    <w:p>
      <w:pPr>
        <w:pStyle w:val="6"/>
      </w:pPr>
    </w:p>
    <w:p/>
    <w:p>
      <w:pPr>
        <w:pStyle w:val="2"/>
      </w:pPr>
    </w:p>
    <w:p/>
    <w:p>
      <w:pPr>
        <w:pStyle w:val="2"/>
      </w:pPr>
    </w:p>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firstLine="645"/>
        <w:textAlignment w:val="auto"/>
        <w:rPr>
          <w:rFonts w:ascii="仿宋_GB2312" w:eastAsia="仿宋_GB2312"/>
          <w:sz w:val="32"/>
          <w:szCs w:val="32"/>
        </w:rPr>
      </w:pPr>
      <w:r>
        <w:rPr>
          <w:rFonts w:hint="eastAsia" w:ascii="仿宋_GB2312" w:eastAsia="仿宋_GB2312"/>
          <w:sz w:val="32"/>
          <w:szCs w:val="32"/>
        </w:rPr>
        <w:t>公开类型：</w:t>
      </w:r>
      <w:r>
        <w:rPr>
          <w:rFonts w:hint="default" w:ascii="仿宋_GB2312" w:eastAsia="仿宋_GB2312"/>
          <w:sz w:val="32"/>
          <w:szCs w:val="32"/>
        </w:rPr>
        <w:t>公开</w:t>
      </w:r>
      <w:r>
        <w:rPr>
          <w:rFonts w:hint="eastAsia" w:ascii="仿宋_GB2312" w:eastAsia="仿宋_GB2312"/>
          <w:sz w:val="32"/>
          <w:szCs w:val="32"/>
        </w:rPr>
        <w:t>。</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firstLine="645"/>
        <w:textAlignment w:val="auto"/>
        <w:rPr>
          <w:rFonts w:ascii="仿宋_GB2312" w:eastAsia="仿宋_GB2312"/>
          <w:sz w:val="32"/>
          <w:szCs w:val="32"/>
        </w:rPr>
      </w:pPr>
      <w:r>
        <w:rPr>
          <w:rFonts w:hint="eastAsia" w:ascii="仿宋_GB2312" w:eastAsia="仿宋_GB2312"/>
          <w:sz w:val="32"/>
          <w:szCs w:val="32"/>
        </w:rPr>
        <w:t>抄送：市政府督查室、市政协提案委。</w:t>
      </w:r>
    </w:p>
    <w:sectPr>
      <w:headerReference r:id="rId4" w:type="first"/>
      <w:headerReference r:id="rId3" w:type="default"/>
      <w:footerReference r:id="rId5" w:type="default"/>
      <w:footerReference r:id="rId6" w:type="even"/>
      <w:pgSz w:w="11906" w:h="16838"/>
      <w:pgMar w:top="1814" w:right="1474" w:bottom="181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长城楷体">
    <w:altName w:val="方正楷体_GBK"/>
    <w:panose1 w:val="00000000000000000000"/>
    <w:charset w:val="86"/>
    <w:family w:val="modern"/>
    <w:pitch w:val="default"/>
    <w:sig w:usb0="00000000" w:usb1="00000000" w:usb2="00000010" w:usb3="00000000" w:csb0="00040000"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等线">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kinsoku/>
      <w:wordWrap w:val="0"/>
      <w:overflowPunct/>
      <w:topLinePunct w:val="0"/>
      <w:autoSpaceDE/>
      <w:autoSpaceDN/>
      <w:bidi w:val="0"/>
      <w:adjustRightInd/>
      <w:snapToGrid w:val="0"/>
      <w:ind w:left="210" w:leftChars="100" w:right="210" w:rightChars="100"/>
      <w:jc w:val="right"/>
      <w:textAlignment w:val="auto"/>
      <w:rPr>
        <w:rFonts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rPr>
      <w:fldChar w:fldCharType="begin"/>
    </w:r>
    <w:r>
      <w:rPr>
        <w:rFonts w:hint="eastAsia" w:ascii="仿宋_GB2312" w:eastAsia="仿宋_GB2312"/>
        <w:sz w:val="32"/>
        <w:szCs w:val="32"/>
      </w:rPr>
      <w:instrText xml:space="preserve"> PAGE   \* MERGEFORMAT </w:instrText>
    </w:r>
    <w:r>
      <w:rPr>
        <w:rFonts w:hint="eastAsia" w:ascii="仿宋_GB2312" w:eastAsia="仿宋_GB2312"/>
        <w:sz w:val="32"/>
        <w:szCs w:val="32"/>
      </w:rPr>
      <w:fldChar w:fldCharType="separate"/>
    </w:r>
    <w:r>
      <w:rPr>
        <w:rFonts w:ascii="仿宋_GB2312" w:eastAsia="仿宋_GB2312"/>
        <w:sz w:val="32"/>
        <w:szCs w:val="32"/>
        <w:lang w:val="zh-CN"/>
      </w:rPr>
      <w:t>8</w:t>
    </w:r>
    <w:r>
      <w:rPr>
        <w:rFonts w:hint="eastAsia" w:ascii="仿宋_GB2312" w:eastAsia="仿宋_GB2312"/>
        <w:sz w:val="32"/>
        <w:szCs w:val="32"/>
      </w:rPr>
      <w:fldChar w:fldCharType="end"/>
    </w:r>
    <w:r>
      <w:rPr>
        <w:rFonts w:hint="eastAsia" w:ascii="仿宋_GB2312" w:eastAsia="仿宋_GB2312"/>
        <w:sz w:val="32"/>
        <w:szCs w:val="3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rPr>
      <w:fldChar w:fldCharType="begin"/>
    </w:r>
    <w:r>
      <w:rPr>
        <w:rFonts w:hint="eastAsia" w:ascii="仿宋_GB2312" w:eastAsia="仿宋_GB2312"/>
        <w:sz w:val="32"/>
        <w:szCs w:val="32"/>
      </w:rPr>
      <w:instrText xml:space="preserve"> PAGE   \* MERGEFORMAT </w:instrText>
    </w:r>
    <w:r>
      <w:rPr>
        <w:rFonts w:hint="eastAsia" w:ascii="仿宋_GB2312" w:eastAsia="仿宋_GB2312"/>
        <w:sz w:val="32"/>
        <w:szCs w:val="32"/>
      </w:rPr>
      <w:fldChar w:fldCharType="separate"/>
    </w:r>
    <w:r>
      <w:rPr>
        <w:rFonts w:ascii="仿宋_GB2312" w:eastAsia="仿宋_GB2312"/>
        <w:sz w:val="32"/>
        <w:szCs w:val="32"/>
        <w:lang w:val="zh-CN"/>
      </w:rPr>
      <w:t>12</w:t>
    </w:r>
    <w:r>
      <w:rPr>
        <w:rFonts w:hint="eastAsia" w:ascii="仿宋_GB2312" w:eastAsia="仿宋_GB2312"/>
        <w:sz w:val="32"/>
        <w:szCs w:val="32"/>
      </w:rPr>
      <w:fldChar w:fldCharType="end"/>
    </w:r>
    <w:r>
      <w:rPr>
        <w:rFonts w:hint="eastAsia" w:ascii="仿宋_GB2312" w:eastAsia="仿宋_GB2312"/>
        <w:sz w:val="32"/>
        <w:szCs w:val="32"/>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0"/>
  <w:bordersDoNotSurroundFooter w:val="0"/>
  <w:revisionView w:markup="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iZDBjMGQzNjJjYmFhMTEwYjQ2M2ZjMDBlNTY4NmMifQ=="/>
  </w:docVars>
  <w:rsids>
    <w:rsidRoot w:val="00B34CCC"/>
    <w:rsid w:val="000870A4"/>
    <w:rsid w:val="000A3D15"/>
    <w:rsid w:val="001B47AA"/>
    <w:rsid w:val="001C5A19"/>
    <w:rsid w:val="00200546"/>
    <w:rsid w:val="0024366F"/>
    <w:rsid w:val="0025417C"/>
    <w:rsid w:val="00274753"/>
    <w:rsid w:val="0028406F"/>
    <w:rsid w:val="00292C05"/>
    <w:rsid w:val="002A3D23"/>
    <w:rsid w:val="002C33D9"/>
    <w:rsid w:val="00315C29"/>
    <w:rsid w:val="00323684"/>
    <w:rsid w:val="00356391"/>
    <w:rsid w:val="003B7035"/>
    <w:rsid w:val="0049319A"/>
    <w:rsid w:val="00494D7B"/>
    <w:rsid w:val="004B3877"/>
    <w:rsid w:val="00560740"/>
    <w:rsid w:val="006A3268"/>
    <w:rsid w:val="006D07EC"/>
    <w:rsid w:val="00716AA6"/>
    <w:rsid w:val="007C2B66"/>
    <w:rsid w:val="00847F48"/>
    <w:rsid w:val="008A3FEB"/>
    <w:rsid w:val="00AE6598"/>
    <w:rsid w:val="00B34CCC"/>
    <w:rsid w:val="00B50E7F"/>
    <w:rsid w:val="00B74283"/>
    <w:rsid w:val="00B87E82"/>
    <w:rsid w:val="00BB5949"/>
    <w:rsid w:val="00C72BF1"/>
    <w:rsid w:val="00C77000"/>
    <w:rsid w:val="00CB5B2C"/>
    <w:rsid w:val="00CD7A9A"/>
    <w:rsid w:val="00CE5C79"/>
    <w:rsid w:val="00CF7386"/>
    <w:rsid w:val="00D53D90"/>
    <w:rsid w:val="00D83E7C"/>
    <w:rsid w:val="00D941FB"/>
    <w:rsid w:val="00DA7E8B"/>
    <w:rsid w:val="00DE6DAC"/>
    <w:rsid w:val="00EC67C8"/>
    <w:rsid w:val="00EE115F"/>
    <w:rsid w:val="00F00973"/>
    <w:rsid w:val="00FA6AD7"/>
    <w:rsid w:val="00FA7BE8"/>
    <w:rsid w:val="02C72207"/>
    <w:rsid w:val="05DE1D42"/>
    <w:rsid w:val="07086E9B"/>
    <w:rsid w:val="080041F1"/>
    <w:rsid w:val="0C607954"/>
    <w:rsid w:val="0D961154"/>
    <w:rsid w:val="0DD56120"/>
    <w:rsid w:val="0EDF2DC7"/>
    <w:rsid w:val="10C83D1A"/>
    <w:rsid w:val="10D34B99"/>
    <w:rsid w:val="136FDD1F"/>
    <w:rsid w:val="13B32A60"/>
    <w:rsid w:val="140137CB"/>
    <w:rsid w:val="14C111AC"/>
    <w:rsid w:val="159E329B"/>
    <w:rsid w:val="195C76F5"/>
    <w:rsid w:val="198B25A8"/>
    <w:rsid w:val="19AD7F51"/>
    <w:rsid w:val="1ABD4B64"/>
    <w:rsid w:val="1ADC490F"/>
    <w:rsid w:val="1C894B08"/>
    <w:rsid w:val="1DFEEE18"/>
    <w:rsid w:val="1FB6DBDE"/>
    <w:rsid w:val="1FBE17D9"/>
    <w:rsid w:val="1FEF545B"/>
    <w:rsid w:val="215A451A"/>
    <w:rsid w:val="21B46321"/>
    <w:rsid w:val="22C32593"/>
    <w:rsid w:val="23233E05"/>
    <w:rsid w:val="23D507D0"/>
    <w:rsid w:val="254774AC"/>
    <w:rsid w:val="25885261"/>
    <w:rsid w:val="27C546B8"/>
    <w:rsid w:val="28DF776B"/>
    <w:rsid w:val="29B03871"/>
    <w:rsid w:val="29E33C2A"/>
    <w:rsid w:val="2A407052"/>
    <w:rsid w:val="2F7FC4F6"/>
    <w:rsid w:val="30420F9B"/>
    <w:rsid w:val="30B654E5"/>
    <w:rsid w:val="30D065A7"/>
    <w:rsid w:val="30D75B88"/>
    <w:rsid w:val="31772EC7"/>
    <w:rsid w:val="34A915E9"/>
    <w:rsid w:val="35494B7A"/>
    <w:rsid w:val="36851BE2"/>
    <w:rsid w:val="3700570C"/>
    <w:rsid w:val="371B42F4"/>
    <w:rsid w:val="37515F68"/>
    <w:rsid w:val="37F88B50"/>
    <w:rsid w:val="39912799"/>
    <w:rsid w:val="3A1A5B69"/>
    <w:rsid w:val="3C7973E7"/>
    <w:rsid w:val="3CFF41D5"/>
    <w:rsid w:val="3F253F62"/>
    <w:rsid w:val="4191768D"/>
    <w:rsid w:val="433C7ACC"/>
    <w:rsid w:val="436F7EA2"/>
    <w:rsid w:val="482C43BD"/>
    <w:rsid w:val="48C84B63"/>
    <w:rsid w:val="4A9621B8"/>
    <w:rsid w:val="4B1F5D09"/>
    <w:rsid w:val="4BC5579B"/>
    <w:rsid w:val="4C2D26A8"/>
    <w:rsid w:val="4C4D2D4A"/>
    <w:rsid w:val="4CCE5C39"/>
    <w:rsid w:val="4D9224B0"/>
    <w:rsid w:val="4E355844"/>
    <w:rsid w:val="4FB41D6F"/>
    <w:rsid w:val="503E4E84"/>
    <w:rsid w:val="50902B5C"/>
    <w:rsid w:val="53D8739D"/>
    <w:rsid w:val="54532EC8"/>
    <w:rsid w:val="54E83610"/>
    <w:rsid w:val="552D518D"/>
    <w:rsid w:val="55760C1C"/>
    <w:rsid w:val="57476D14"/>
    <w:rsid w:val="58254B7B"/>
    <w:rsid w:val="5A6279C1"/>
    <w:rsid w:val="5C6A0835"/>
    <w:rsid w:val="5CF54B1C"/>
    <w:rsid w:val="5D325D70"/>
    <w:rsid w:val="5FB3FE10"/>
    <w:rsid w:val="61004E5C"/>
    <w:rsid w:val="61A36059"/>
    <w:rsid w:val="65181CEF"/>
    <w:rsid w:val="659E15D7"/>
    <w:rsid w:val="65DE60B8"/>
    <w:rsid w:val="68B94A8E"/>
    <w:rsid w:val="6BDFAD65"/>
    <w:rsid w:val="6D666D2A"/>
    <w:rsid w:val="6FE56B7E"/>
    <w:rsid w:val="71E511AB"/>
    <w:rsid w:val="72FF232B"/>
    <w:rsid w:val="735F6D3B"/>
    <w:rsid w:val="73DC213A"/>
    <w:rsid w:val="749D5D6D"/>
    <w:rsid w:val="77DF0E30"/>
    <w:rsid w:val="78D5545F"/>
    <w:rsid w:val="7A862E00"/>
    <w:rsid w:val="7AF714F4"/>
    <w:rsid w:val="7CD71162"/>
    <w:rsid w:val="7EAD10B5"/>
    <w:rsid w:val="7EFE43D3"/>
    <w:rsid w:val="7F762186"/>
    <w:rsid w:val="7FFD0BA3"/>
    <w:rsid w:val="7FFD6ACE"/>
    <w:rsid w:val="9B6E2835"/>
    <w:rsid w:val="AED5D841"/>
    <w:rsid w:val="B7FFEB11"/>
    <w:rsid w:val="BF1CCDD0"/>
    <w:rsid w:val="BFFF002C"/>
    <w:rsid w:val="C6BFA82F"/>
    <w:rsid w:val="CBBF5382"/>
    <w:rsid w:val="CDEDF3CE"/>
    <w:rsid w:val="DBDE316B"/>
    <w:rsid w:val="E7BFA9E0"/>
    <w:rsid w:val="EB7E959F"/>
    <w:rsid w:val="F4E91429"/>
    <w:rsid w:val="F6FF22F0"/>
    <w:rsid w:val="FBAB3B2D"/>
    <w:rsid w:val="FDFF880F"/>
    <w:rsid w:val="FE3F85BE"/>
    <w:rsid w:val="FF7840E6"/>
    <w:rsid w:val="FF949CF0"/>
    <w:rsid w:val="FFFFE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overflowPunct w:val="0"/>
      <w:autoSpaceDE w:val="0"/>
      <w:autoSpaceDN w:val="0"/>
      <w:adjustRightInd w:val="0"/>
      <w:spacing w:line="560" w:lineRule="exact"/>
      <w:ind w:firstLine="641"/>
      <w:jc w:val="left"/>
      <w:textAlignment w:val="baseline"/>
    </w:pPr>
    <w:rPr>
      <w:rFonts w:ascii="长城楷体" w:hAnsi="长城楷体"/>
      <w:kern w:val="0"/>
      <w:szCs w:val="20"/>
    </w:rPr>
  </w:style>
  <w:style w:type="paragraph" w:styleId="5">
    <w:name w:val="Body Text"/>
    <w:basedOn w:val="1"/>
    <w:next w:val="6"/>
    <w:qFormat/>
    <w:uiPriority w:val="0"/>
    <w:pPr>
      <w:widowControl w:val="0"/>
      <w:spacing w:line="540" w:lineRule="exact"/>
    </w:pPr>
    <w:rPr>
      <w:rFonts w:ascii="楷体_GB2312" w:hAnsi="Calibri" w:eastAsia="楷体_GB2312" w:cs="Times New Roman"/>
      <w:kern w:val="2"/>
      <w:sz w:val="32"/>
      <w:szCs w:val="20"/>
    </w:rPr>
  </w:style>
  <w:style w:type="paragraph" w:styleId="6">
    <w:name w:val="Title"/>
    <w:basedOn w:val="1"/>
    <w:next w:val="1"/>
    <w:qFormat/>
    <w:uiPriority w:val="0"/>
    <w:pPr>
      <w:widowControl w:val="0"/>
      <w:spacing w:before="240" w:after="60" w:line="276" w:lineRule="auto"/>
      <w:jc w:val="center"/>
      <w:outlineLvl w:val="0"/>
    </w:pPr>
    <w:rPr>
      <w:rFonts w:ascii="Cambria" w:hAnsi="Cambria"/>
      <w:b/>
      <w:bCs/>
      <w:kern w:val="2"/>
      <w:sz w:val="32"/>
      <w:szCs w:val="32"/>
      <w:lang w:val="en-US" w:eastAsia="zh-CN" w:bidi="ar-SA"/>
    </w:rPr>
  </w:style>
  <w:style w:type="paragraph" w:styleId="7">
    <w:name w:val="Body Text Indent 2"/>
    <w:basedOn w:val="1"/>
    <w:next w:val="1"/>
    <w:qFormat/>
    <w:uiPriority w:val="0"/>
    <w:pPr>
      <w:spacing w:beforeLines="50" w:afterLines="50" w:line="120" w:lineRule="auto"/>
      <w:ind w:firstLine="840" w:firstLineChars="400"/>
      <w:jc w:val="left"/>
    </w:pPr>
    <w:rPr>
      <w:rFonts w:ascii="宋体" w:hAnsi="宋体" w:eastAsia="宋体" w:cs="Times New Roman"/>
    </w:rPr>
  </w:style>
  <w:style w:type="paragraph" w:styleId="8">
    <w:name w:val="Balloon Text"/>
    <w:basedOn w:val="1"/>
    <w:link w:val="16"/>
    <w:qFormat/>
    <w:uiPriority w:val="0"/>
    <w:rPr>
      <w:sz w:val="18"/>
      <w:szCs w:val="18"/>
    </w:rPr>
  </w:style>
  <w:style w:type="paragraph" w:styleId="9">
    <w:name w:val="footer"/>
    <w:basedOn w:val="1"/>
    <w:link w:val="17"/>
    <w:qFormat/>
    <w:uiPriority w:val="0"/>
    <w:pPr>
      <w:tabs>
        <w:tab w:val="center" w:pos="4153"/>
        <w:tab w:val="right" w:pos="8306"/>
      </w:tabs>
      <w:snapToGrid w:val="0"/>
      <w:jc w:val="left"/>
    </w:pPr>
    <w:rPr>
      <w:kern w:val="0"/>
      <w:sz w:val="18"/>
      <w:szCs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kern w:val="0"/>
      <w:sz w:val="18"/>
      <w:szCs w:val="18"/>
    </w:rPr>
  </w:style>
  <w:style w:type="character" w:styleId="13">
    <w:name w:val="Emphasis"/>
    <w:basedOn w:val="12"/>
    <w:qFormat/>
    <w:uiPriority w:val="0"/>
    <w:rPr>
      <w:i/>
    </w:rPr>
  </w:style>
  <w:style w:type="character" w:styleId="14">
    <w:name w:val="Hyperlink"/>
    <w:basedOn w:val="12"/>
    <w:qFormat/>
    <w:uiPriority w:val="0"/>
    <w:rPr>
      <w:color w:val="0000FF"/>
      <w:u w:val="single"/>
    </w:rPr>
  </w:style>
  <w:style w:type="paragraph" w:customStyle="1" w:styleId="15">
    <w:name w:val="_Style 1"/>
    <w:basedOn w:val="1"/>
    <w:qFormat/>
    <w:uiPriority w:val="99"/>
    <w:pPr>
      <w:ind w:firstLine="420" w:firstLineChars="200"/>
    </w:pPr>
  </w:style>
  <w:style w:type="character" w:customStyle="1" w:styleId="16">
    <w:name w:val="批注框文本 Char"/>
    <w:link w:val="8"/>
    <w:semiHidden/>
    <w:qFormat/>
    <w:uiPriority w:val="99"/>
    <w:rPr>
      <w:kern w:val="2"/>
      <w:sz w:val="18"/>
      <w:szCs w:val="18"/>
    </w:rPr>
  </w:style>
  <w:style w:type="character" w:customStyle="1" w:styleId="17">
    <w:name w:val="页脚 Char"/>
    <w:link w:val="9"/>
    <w:qFormat/>
    <w:uiPriority w:val="99"/>
    <w:rPr>
      <w:sz w:val="18"/>
      <w:szCs w:val="18"/>
    </w:rPr>
  </w:style>
  <w:style w:type="character" w:customStyle="1" w:styleId="18">
    <w:name w:val="页眉 Char"/>
    <w:link w:val="10"/>
    <w:qFormat/>
    <w:uiPriority w:val="99"/>
    <w:rPr>
      <w:sz w:val="18"/>
      <w:szCs w:val="18"/>
    </w:rPr>
  </w:style>
  <w:style w:type="paragraph" w:customStyle="1" w:styleId="19">
    <w:name w:val="正文 New"/>
    <w:basedOn w:val="1"/>
    <w:qFormat/>
    <w:uiPriority w:val="0"/>
    <w:rPr>
      <w:rFonts w:ascii="Calibri" w:hAnsi="Calibri" w:eastAsia="宋体" w:cs="黑体"/>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0</Words>
  <Characters>0</Characters>
  <Lines>0</Lines>
  <Paragraphs>0</Paragraphs>
  <TotalTime>5</TotalTime>
  <ScaleCrop>false</ScaleCrop>
  <LinksUpToDate>false</LinksUpToDate>
  <CharactersWithSpaces>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2022-03-09T23:01:00Z</dcterms:created>
  <dc:creator>86151</dc:creator>
  <cp:lastModifiedBy>陈欣然</cp:lastModifiedBy>
  <cp:lastPrinted>2023-05-31T17:11:00Z</cp:lastPrinted>
  <dcterms:modified xsi:type="dcterms:W3CDTF">2024-10-15T11:15:11Z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DF1A2B9C52284C69B3CB0557C2A87341_12</vt:lpwstr>
  </property>
</Properties>
</file>