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ascii="仿宋_GB2312" w:eastAsia="仿宋_GB2312"/>
          <w:sz w:val="32"/>
          <w:szCs w:val="32"/>
        </w:rPr>
      </w:pPr>
      <w:r>
        <w:rPr>
          <w:rFonts w:hint="eastAsia"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spacing w:line="560" w:lineRule="exact"/>
        <w:ind w:right="0"/>
        <w:jc w:val="center"/>
        <w:textAlignment w:val="auto"/>
        <w:rPr>
          <w:rFonts w:hint="eastAsia" w:ascii="方正小标宋简体" w:eastAsia="方正小标宋简体"/>
          <w:sz w:val="44"/>
          <w:szCs w:val="44"/>
        </w:rPr>
      </w:pPr>
      <w:bookmarkStart w:id="0" w:name="zhengwen"/>
      <w:bookmarkEnd w:id="0"/>
      <w:r>
        <w:rPr>
          <w:rFonts w:hint="eastAsia" w:ascii="方正小标宋简体" w:eastAsia="方正小标宋简体"/>
          <w:sz w:val="44"/>
          <w:szCs w:val="44"/>
        </w:rPr>
        <w:t>深圳市商务局关于对市</w:t>
      </w:r>
      <w:r>
        <w:rPr>
          <w:rFonts w:hint="default" w:ascii="方正小标宋简体" w:eastAsia="方正小标宋简体"/>
          <w:sz w:val="44"/>
          <w:szCs w:val="44"/>
        </w:rPr>
        <w:t>政协</w:t>
      </w:r>
      <w:r>
        <w:rPr>
          <w:rFonts w:hint="eastAsia" w:ascii="方正小标宋简体" w:eastAsia="方正小标宋简体"/>
          <w:sz w:val="44"/>
          <w:szCs w:val="44"/>
          <w:lang w:eastAsia="zh-CN"/>
        </w:rPr>
        <w:t>七</w:t>
      </w:r>
      <w:r>
        <w:rPr>
          <w:rFonts w:hint="eastAsia" w:ascii="方正小标宋简体" w:eastAsia="方正小标宋简体"/>
          <w:sz w:val="44"/>
          <w:szCs w:val="44"/>
        </w:rPr>
        <w:t>届</w:t>
      </w:r>
      <w:r>
        <w:rPr>
          <w:rFonts w:hint="default" w:ascii="方正小标宋简体" w:eastAsia="方正小标宋简体"/>
          <w:sz w:val="44"/>
          <w:szCs w:val="44"/>
        </w:rPr>
        <w:t>四</w:t>
      </w:r>
      <w:r>
        <w:rPr>
          <w:rFonts w:hint="eastAsia" w:ascii="方正小标宋简体" w:eastAsia="方正小标宋简体"/>
          <w:sz w:val="44"/>
          <w:szCs w:val="44"/>
        </w:rPr>
        <w:t>次会议</w:t>
      </w:r>
    </w:p>
    <w:p>
      <w:pPr>
        <w:keepNext w:val="0"/>
        <w:keepLines w:val="0"/>
        <w:pageBreakBefore w:val="0"/>
        <w:widowControl w:val="0"/>
        <w:kinsoku/>
        <w:wordWrap/>
        <w:overflowPunct/>
        <w:topLinePunct w:val="0"/>
        <w:autoSpaceDE/>
        <w:autoSpaceDN/>
        <w:bidi w:val="0"/>
        <w:spacing w:line="560" w:lineRule="exact"/>
        <w:ind w:right="0"/>
        <w:jc w:val="center"/>
        <w:textAlignment w:val="auto"/>
      </w:pPr>
      <w:r>
        <w:rPr>
          <w:rFonts w:hint="eastAsia" w:ascii="方正小标宋简体" w:eastAsia="方正小标宋简体"/>
          <w:sz w:val="44"/>
          <w:szCs w:val="44"/>
        </w:rPr>
        <w:t>第</w:t>
      </w:r>
      <w:r>
        <w:rPr>
          <w:rFonts w:hint="eastAsia" w:ascii="方正小标宋简体" w:eastAsia="方正小标宋简体"/>
          <w:sz w:val="44"/>
          <w:szCs w:val="44"/>
          <w:lang w:val="en-US" w:eastAsia="zh-CN"/>
        </w:rPr>
        <w:t>2024</w:t>
      </w:r>
      <w:r>
        <w:rPr>
          <w:rFonts w:hint="default" w:ascii="方正小标宋简体" w:eastAsia="方正小标宋简体"/>
          <w:sz w:val="44"/>
          <w:szCs w:val="44"/>
          <w:lang w:eastAsia="zh-CN"/>
        </w:rPr>
        <w:t>0288</w:t>
      </w:r>
      <w:r>
        <w:rPr>
          <w:rFonts w:hint="eastAsia" w:ascii="方正小标宋简体" w:eastAsia="方正小标宋简体"/>
          <w:sz w:val="44"/>
          <w:szCs w:val="44"/>
        </w:rPr>
        <w:t>号</w:t>
      </w:r>
      <w:r>
        <w:rPr>
          <w:rFonts w:hint="default" w:ascii="方正小标宋简体" w:eastAsia="方正小标宋简体"/>
          <w:sz w:val="44"/>
          <w:szCs w:val="44"/>
        </w:rPr>
        <w:t>提案会</w:t>
      </w:r>
      <w:r>
        <w:rPr>
          <w:rFonts w:hint="eastAsia" w:ascii="方正小标宋简体" w:eastAsia="方正小标宋简体"/>
          <w:sz w:val="44"/>
          <w:szCs w:val="44"/>
        </w:rPr>
        <w:t>办意见的函</w:t>
      </w:r>
    </w:p>
    <w:p>
      <w:pPr>
        <w:keepNext w:val="0"/>
        <w:keepLines w:val="0"/>
        <w:pageBreakBefore w:val="0"/>
        <w:widowControl w:val="0"/>
        <w:kinsoku/>
        <w:wordWrap/>
        <w:overflowPunct/>
        <w:topLinePunct w:val="0"/>
        <w:autoSpaceDE/>
        <w:autoSpaceDN/>
        <w:bidi w:val="0"/>
        <w:spacing w:line="560" w:lineRule="exact"/>
        <w:ind w:right="0"/>
        <w:jc w:val="left"/>
        <w:textAlignment w:val="auto"/>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spacing w:line="560" w:lineRule="exact"/>
        <w:ind w:right="0"/>
        <w:jc w:val="left"/>
        <w:textAlignment w:val="auto"/>
        <w:rPr>
          <w:rFonts w:hint="eastAsia" w:ascii="仿宋_GB2312" w:eastAsia="仿宋_GB2312"/>
          <w:sz w:val="32"/>
          <w:szCs w:val="32"/>
        </w:rPr>
      </w:pPr>
      <w:r>
        <w:rPr>
          <w:rFonts w:hint="default" w:ascii="仿宋_GB2312" w:eastAsia="仿宋_GB2312"/>
          <w:sz w:val="32"/>
          <w:szCs w:val="32"/>
        </w:rPr>
        <w:t>市前海管理局</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eastAsia="仿宋_GB2312"/>
          <w:sz w:val="32"/>
          <w:szCs w:val="32"/>
        </w:rPr>
      </w:pPr>
      <w:r>
        <w:rPr>
          <w:rFonts w:hint="eastAsia" w:ascii="仿宋_GB2312" w:eastAsia="仿宋_GB2312"/>
          <w:sz w:val="32"/>
          <w:szCs w:val="32"/>
        </w:rPr>
        <w:t>市政协七届四次会议第20240</w:t>
      </w:r>
      <w:r>
        <w:rPr>
          <w:rFonts w:hint="default" w:ascii="仿宋_GB2312" w:eastAsia="仿宋_GB2312"/>
          <w:sz w:val="32"/>
          <w:szCs w:val="32"/>
        </w:rPr>
        <w:t>288</w:t>
      </w:r>
      <w:r>
        <w:rPr>
          <w:rFonts w:hint="eastAsia" w:ascii="仿宋_GB2312" w:eastAsia="仿宋_GB2312"/>
          <w:sz w:val="32"/>
          <w:szCs w:val="32"/>
        </w:rPr>
        <w:t>号提案《</w:t>
      </w:r>
      <w:r>
        <w:rPr>
          <w:rFonts w:hint="eastAsia" w:ascii="仿宋_GB2312" w:hAnsi="仿宋_GB2312" w:eastAsia="仿宋_GB2312" w:cs="仿宋_GB2312"/>
          <w:sz w:val="32"/>
          <w:szCs w:val="32"/>
        </w:rPr>
        <w:t>关于深圳前海成熟政策全市普及的提案</w:t>
      </w:r>
      <w:r>
        <w:rPr>
          <w:rFonts w:hint="eastAsia" w:ascii="仿宋_GB2312" w:eastAsia="仿宋_GB2312"/>
          <w:sz w:val="32"/>
          <w:szCs w:val="32"/>
        </w:rPr>
        <w:t>》收悉。经研究，</w:t>
      </w:r>
      <w:r>
        <w:rPr>
          <w:rFonts w:hint="default" w:ascii="仿宋_GB2312" w:eastAsia="仿宋_GB2312"/>
          <w:sz w:val="32"/>
          <w:szCs w:val="32"/>
        </w:rPr>
        <w:t>目前前海成熟的跨境电商主体支持政策，市级层面均已覆盖。</w:t>
      </w:r>
      <w:r>
        <w:rPr>
          <w:rFonts w:hint="eastAsia" w:ascii="仿宋_GB2312" w:eastAsia="仿宋_GB2312"/>
          <w:sz w:val="32"/>
          <w:szCs w:val="32"/>
        </w:rPr>
        <w:t>现提出以下</w:t>
      </w:r>
      <w:r>
        <w:rPr>
          <w:rFonts w:hint="default" w:ascii="仿宋_GB2312" w:eastAsia="仿宋_GB2312"/>
          <w:sz w:val="32"/>
          <w:szCs w:val="32"/>
        </w:rPr>
        <w:t>会</w:t>
      </w:r>
      <w:r>
        <w:rPr>
          <w:rFonts w:hint="eastAsia" w:ascii="仿宋_GB2312" w:eastAsia="仿宋_GB2312"/>
          <w:sz w:val="32"/>
          <w:szCs w:val="32"/>
        </w:rPr>
        <w:t>办意见：</w:t>
      </w:r>
    </w:p>
    <w:p>
      <w:pPr>
        <w:keepNext w:val="0"/>
        <w:keepLines w:val="0"/>
        <w:pageBreakBefore w:val="0"/>
        <w:widowControl w:val="0"/>
        <w:numPr>
          <w:ilvl w:val="0"/>
          <w:numId w:val="0"/>
        </w:numPr>
        <w:kinsoku/>
        <w:wordWrap/>
        <w:overflowPunct/>
        <w:topLinePunct w:val="0"/>
        <w:autoSpaceDE/>
        <w:autoSpaceDN/>
        <w:bidi w:val="0"/>
        <w:spacing w:line="560" w:lineRule="exact"/>
        <w:ind w:right="0" w:firstLine="640" w:firstLineChars="200"/>
        <w:textAlignment w:val="auto"/>
        <w:rPr>
          <w:rFonts w:hint="default" w:ascii="仿宋_GB2312" w:eastAsia="仿宋_GB2312"/>
          <w:b/>
          <w:bCs/>
          <w:sz w:val="32"/>
          <w:szCs w:val="32"/>
        </w:rPr>
      </w:pPr>
      <w:r>
        <w:rPr>
          <w:rFonts w:hint="eastAsia" w:ascii="黑体" w:hAnsi="黑体" w:eastAsia="黑体" w:cs="黑体"/>
          <w:b w:val="0"/>
          <w:bCs w:val="0"/>
          <w:sz w:val="32"/>
          <w:szCs w:val="32"/>
        </w:rPr>
        <w:t>一、构建跨境电商政策体系</w:t>
      </w:r>
    </w:p>
    <w:p>
      <w:pPr>
        <w:keepNext w:val="0"/>
        <w:keepLines w:val="0"/>
        <w:pageBreakBefore w:val="0"/>
        <w:widowControl w:val="0"/>
        <w:numPr>
          <w:ilvl w:val="0"/>
          <w:numId w:val="0"/>
        </w:numPr>
        <w:kinsoku/>
        <w:wordWrap/>
        <w:overflowPunct/>
        <w:topLinePunct w:val="0"/>
        <w:autoSpaceDE/>
        <w:autoSpaceDN/>
        <w:bidi w:val="0"/>
        <w:spacing w:line="560" w:lineRule="exact"/>
        <w:ind w:right="0" w:firstLine="640" w:firstLineChars="200"/>
        <w:textAlignment w:val="auto"/>
        <w:rPr>
          <w:rFonts w:hint="default"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聚焦推动跨境电商高质量发展，我局已</w:t>
      </w:r>
      <w:r>
        <w:rPr>
          <w:rFonts w:hint="default" w:ascii="仿宋_GB2312" w:hAnsi="仿宋_GB2312" w:eastAsia="仿宋_GB2312" w:cs="仿宋_GB2312"/>
          <w:b w:val="0"/>
          <w:bCs w:val="0"/>
          <w:sz w:val="32"/>
          <w:szCs w:val="32"/>
        </w:rPr>
        <w:t>初步</w:t>
      </w:r>
      <w:r>
        <w:rPr>
          <w:rFonts w:hint="eastAsia" w:ascii="仿宋_GB2312" w:hAnsi="仿宋_GB2312" w:eastAsia="仿宋_GB2312" w:cs="仿宋_GB2312"/>
          <w:b w:val="0"/>
          <w:bCs w:val="0"/>
          <w:sz w:val="32"/>
          <w:szCs w:val="32"/>
        </w:rPr>
        <w:t>构建“1+2+6+N”的跨境电商政策体系</w:t>
      </w:r>
      <w:r>
        <w:rPr>
          <w:rFonts w:hint="default" w:ascii="仿宋_GB2312" w:hAnsi="仿宋_GB2312" w:eastAsia="仿宋_GB2312" w:cs="仿宋_GB2312"/>
          <w:b w:val="0"/>
          <w:bCs w:val="0"/>
          <w:sz w:val="32"/>
          <w:szCs w:val="32"/>
        </w:rPr>
        <w:t>，重点</w:t>
      </w:r>
      <w:r>
        <w:rPr>
          <w:rFonts w:hint="eastAsia" w:ascii="仿宋_GB2312" w:hAnsi="仿宋_GB2312" w:eastAsia="仿宋_GB2312" w:cs="仿宋_GB2312"/>
          <w:b w:val="0"/>
          <w:bCs w:val="0"/>
          <w:sz w:val="32"/>
          <w:szCs w:val="32"/>
        </w:rPr>
        <w:t>在主体引育、贸易发展、基础建设、模式创新、公共服务等</w:t>
      </w:r>
      <w:r>
        <w:rPr>
          <w:rFonts w:hint="default" w:ascii="仿宋_GB2312" w:hAnsi="仿宋_GB2312" w:eastAsia="仿宋_GB2312" w:cs="仿宋_GB2312"/>
          <w:b w:val="0"/>
          <w:bCs w:val="0"/>
          <w:sz w:val="32"/>
          <w:szCs w:val="32"/>
        </w:rPr>
        <w:t>关键</w:t>
      </w:r>
      <w:r>
        <w:rPr>
          <w:rFonts w:hint="eastAsia" w:ascii="仿宋_GB2312" w:hAnsi="仿宋_GB2312" w:eastAsia="仿宋_GB2312" w:cs="仿宋_GB2312"/>
          <w:b w:val="0"/>
          <w:bCs w:val="0"/>
          <w:sz w:val="32"/>
          <w:szCs w:val="32"/>
        </w:rPr>
        <w:t>环节</w:t>
      </w:r>
      <w:r>
        <w:rPr>
          <w:rFonts w:hint="default" w:ascii="仿宋_GB2312" w:hAnsi="仿宋_GB2312" w:eastAsia="仿宋_GB2312" w:cs="仿宋_GB2312"/>
          <w:b w:val="0"/>
          <w:bCs w:val="0"/>
          <w:sz w:val="32"/>
          <w:szCs w:val="32"/>
        </w:rPr>
        <w:t>，强化对平台型、贸易型、服务型和海外仓等各类跨境电商主体的政策措施支持，</w:t>
      </w:r>
      <w:r>
        <w:rPr>
          <w:rFonts w:hint="eastAsia" w:ascii="仿宋_GB2312" w:hAnsi="仿宋_GB2312" w:eastAsia="仿宋_GB2312" w:cs="仿宋_GB2312"/>
          <w:b w:val="0"/>
          <w:bCs w:val="0"/>
          <w:sz w:val="32"/>
          <w:szCs w:val="32"/>
        </w:rPr>
        <w:t>进一步优化发展环境、完善产业生态</w:t>
      </w:r>
      <w:r>
        <w:rPr>
          <w:rFonts w:hint="default" w:ascii="仿宋_GB2312" w:hAnsi="仿宋_GB2312" w:eastAsia="仿宋_GB2312" w:cs="仿宋_GB2312"/>
          <w:b w:val="0"/>
          <w:bCs w:val="0"/>
          <w:sz w:val="32"/>
          <w:szCs w:val="32"/>
        </w:rPr>
        <w:t>。</w:t>
      </w:r>
      <w:r>
        <w:rPr>
          <w:rFonts w:hint="default" w:ascii="仿宋_GB2312" w:hAnsi="仿宋_GB2312" w:eastAsia="仿宋_GB2312" w:cs="仿宋_GB2312"/>
          <w:b/>
          <w:bCs/>
          <w:sz w:val="32"/>
          <w:szCs w:val="32"/>
        </w:rPr>
        <w:t>一是</w:t>
      </w:r>
      <w:r>
        <w:rPr>
          <w:rFonts w:hint="default" w:ascii="仿宋_GB2312" w:hAnsi="仿宋_GB2312" w:eastAsia="仿宋_GB2312" w:cs="仿宋_GB2312"/>
          <w:b w:val="0"/>
          <w:bCs w:val="0"/>
          <w:sz w:val="32"/>
          <w:szCs w:val="32"/>
        </w:rPr>
        <w:t>出台《深圳市推动跨境电子商务高质量发展行动方案（2022-2025）》，开展市场主体培育、品牌升级和数字化提升、金融创新、通关物流、监管服务等七大行动。</w:t>
      </w:r>
      <w:r>
        <w:rPr>
          <w:rFonts w:hint="default" w:ascii="仿宋_GB2312" w:hAnsi="仿宋_GB2312" w:eastAsia="仿宋_GB2312" w:cs="仿宋_GB2312"/>
          <w:b/>
          <w:bCs/>
          <w:sz w:val="32"/>
          <w:szCs w:val="32"/>
        </w:rPr>
        <w:t>二是</w:t>
      </w:r>
      <w:r>
        <w:rPr>
          <w:rFonts w:hint="default" w:ascii="仿宋_GB2312" w:hAnsi="仿宋_GB2312" w:eastAsia="仿宋_GB2312" w:cs="仿宋_GB2312"/>
          <w:b w:val="0"/>
          <w:bCs w:val="0"/>
          <w:sz w:val="32"/>
          <w:szCs w:val="32"/>
        </w:rPr>
        <w:t>围绕推进建设国际枢纽城市、打造国际化网络直播平台、阳光化试点、海外仓布局等重点工作，制定实施《深圳市建设跨境电商国际枢纽城市工作方案》《深圳市国际化网络直播电商服务平台建设工作方案》《深圳市跨境电商零售出口企业阳光化申报试点工作方案》《深圳市商务局鼓励企业参与跨境电商零售出口阳光化申报试点实施细则》《深圳市海外仓公共信息服务平台建设方案》和《深圳市推动跨境电商海外仓高质量发展工作措施》等6大专项工作方案，针对性强化对阳光化试点、国际化网络直播、海外仓等主体的引导和支持，为跨境电商品牌出海提供更完善的配套服务和产业扶持。</w:t>
      </w:r>
      <w:r>
        <w:rPr>
          <w:rFonts w:hint="default" w:ascii="仿宋_GB2312" w:hAnsi="仿宋_GB2312" w:eastAsia="仿宋_GB2312" w:cs="仿宋_GB2312"/>
          <w:b/>
          <w:bCs/>
          <w:sz w:val="32"/>
          <w:szCs w:val="32"/>
        </w:rPr>
        <w:t>三是</w:t>
      </w:r>
      <w:r>
        <w:rPr>
          <w:rFonts w:hint="default" w:ascii="仿宋_GB2312" w:hAnsi="仿宋_GB2312" w:eastAsia="仿宋_GB2312" w:cs="仿宋_GB2312"/>
          <w:b w:val="0"/>
          <w:bCs w:val="0"/>
          <w:sz w:val="32"/>
          <w:szCs w:val="32"/>
        </w:rPr>
        <w:t>研究制定《深圳市关于推动跨境电子商务高质量发展的若干措施》，重点对优质企业落户、海外仓建设、独立站运营、专业服务企业培育和“跨境电商+产业带”模式发展等给予资金支持，助力相关主体提质增效、提档升级、高质量发展。</w:t>
      </w:r>
    </w:p>
    <w:p>
      <w:pPr>
        <w:keepNext w:val="0"/>
        <w:keepLines w:val="0"/>
        <w:pageBreakBefore w:val="0"/>
        <w:widowControl w:val="0"/>
        <w:numPr>
          <w:ilvl w:val="0"/>
          <w:numId w:val="0"/>
        </w:numPr>
        <w:kinsoku/>
        <w:wordWrap/>
        <w:overflowPunct/>
        <w:topLinePunct w:val="0"/>
        <w:autoSpaceDE/>
        <w:autoSpaceDN/>
        <w:bidi w:val="0"/>
        <w:spacing w:line="560" w:lineRule="exact"/>
        <w:ind w:right="0" w:firstLine="640" w:firstLineChars="200"/>
        <w:textAlignment w:val="auto"/>
        <w:rPr>
          <w:rFonts w:hint="default" w:ascii="仿宋_GB2312" w:hAnsi="仿宋_GB2312" w:eastAsia="仿宋_GB2312" w:cs="仿宋_GB2312"/>
          <w:b w:val="0"/>
          <w:bCs w:val="0"/>
          <w:sz w:val="32"/>
          <w:szCs w:val="32"/>
        </w:rPr>
      </w:pPr>
      <w:r>
        <w:rPr>
          <w:rFonts w:hint="eastAsia" w:ascii="黑体" w:hAnsi="黑体" w:eastAsia="黑体" w:cs="黑体"/>
          <w:b w:val="0"/>
          <w:bCs w:val="0"/>
          <w:sz w:val="32"/>
          <w:szCs w:val="32"/>
        </w:rPr>
        <w:t>二、</w:t>
      </w:r>
      <w:r>
        <w:rPr>
          <w:rFonts w:hint="default" w:ascii="黑体" w:hAnsi="黑体" w:eastAsia="黑体" w:cs="黑体"/>
          <w:b w:val="0"/>
          <w:bCs w:val="0"/>
          <w:sz w:val="32"/>
          <w:szCs w:val="32"/>
        </w:rPr>
        <w:t>加大对重点领域和关键环节支持力度</w:t>
      </w:r>
    </w:p>
    <w:p>
      <w:pPr>
        <w:keepNext w:val="0"/>
        <w:keepLines w:val="0"/>
        <w:pageBreakBefore w:val="0"/>
        <w:widowControl w:val="0"/>
        <w:numPr>
          <w:ilvl w:val="0"/>
          <w:numId w:val="0"/>
        </w:numPr>
        <w:kinsoku/>
        <w:wordWrap/>
        <w:overflowPunct/>
        <w:topLinePunct w:val="0"/>
        <w:autoSpaceDE/>
        <w:autoSpaceDN/>
        <w:bidi w:val="0"/>
        <w:spacing w:line="560" w:lineRule="exact"/>
        <w:ind w:right="0" w:firstLine="642" w:firstLineChars="200"/>
        <w:textAlignment w:val="auto"/>
        <w:rPr>
          <w:rFonts w:hint="default" w:ascii="仿宋_GB2312" w:hAnsi="仿宋_GB2312" w:eastAsia="仿宋_GB2312" w:cs="仿宋_GB2312"/>
          <w:b w:val="0"/>
          <w:bCs w:val="0"/>
          <w:sz w:val="32"/>
          <w:szCs w:val="32"/>
        </w:rPr>
      </w:pPr>
      <w:r>
        <w:rPr>
          <w:rFonts w:hint="default" w:ascii="仿宋_GB2312" w:hAnsi="仿宋_GB2312" w:eastAsia="仿宋_GB2312" w:cs="仿宋_GB2312"/>
          <w:b/>
          <w:bCs/>
          <w:sz w:val="32"/>
          <w:szCs w:val="32"/>
        </w:rPr>
        <w:t>一是</w:t>
      </w:r>
      <w:r>
        <w:rPr>
          <w:rFonts w:hint="default" w:ascii="仿宋_GB2312" w:hAnsi="仿宋_GB2312" w:eastAsia="仿宋_GB2312" w:cs="仿宋_GB2312"/>
          <w:b w:val="0"/>
          <w:bCs w:val="0"/>
          <w:sz w:val="32"/>
          <w:szCs w:val="32"/>
        </w:rPr>
        <w:t>制定出台跨境电商企业市场开拓扶持事项政策，支持企业通过建设运营跨境电商独立站、海外仓，完善国际营销及售后服务体系，增强综合服务能力。截至2023年底，已累计培育超100个品牌独立站，企业建设运营海外仓超380万平方米，全省21个省级公共海外仓中17个由深圳企业建设运营。</w:t>
      </w:r>
      <w:r>
        <w:rPr>
          <w:rFonts w:hint="default" w:ascii="仿宋_GB2312" w:hAnsi="仿宋_GB2312" w:eastAsia="仿宋_GB2312" w:cs="仿宋_GB2312"/>
          <w:b/>
          <w:bCs/>
          <w:sz w:val="32"/>
          <w:szCs w:val="32"/>
        </w:rPr>
        <w:t>二是</w:t>
      </w:r>
      <w:r>
        <w:rPr>
          <w:rFonts w:hint="default" w:ascii="仿宋_GB2312" w:hAnsi="仿宋_GB2312" w:eastAsia="仿宋_GB2312" w:cs="仿宋_GB2312"/>
          <w:b w:val="0"/>
          <w:bCs w:val="0"/>
          <w:sz w:val="32"/>
          <w:szCs w:val="32"/>
        </w:rPr>
        <w:t>支持跨境电商专业服务型企业创新拓展服务产品和服务模式，持续增强专业化服务能力。截至目前，已累计培育易仓、领星、店小秘、船奇、欧税通、商线等大批知名专业服务企业，数量约占全国一半以上。</w:t>
      </w:r>
    </w:p>
    <w:p>
      <w:pPr>
        <w:keepNext w:val="0"/>
        <w:keepLines w:val="0"/>
        <w:pageBreakBefore w:val="0"/>
        <w:widowControl w:val="0"/>
        <w:numPr>
          <w:ilvl w:val="0"/>
          <w:numId w:val="0"/>
        </w:numPr>
        <w:kinsoku/>
        <w:wordWrap/>
        <w:overflowPunct/>
        <w:topLinePunct w:val="0"/>
        <w:autoSpaceDE/>
        <w:autoSpaceDN/>
        <w:bidi w:val="0"/>
        <w:spacing w:line="560" w:lineRule="exact"/>
        <w:ind w:right="0" w:firstLine="640" w:firstLineChars="200"/>
        <w:textAlignment w:val="auto"/>
        <w:rPr>
          <w:rFonts w:hint="default" w:ascii="仿宋_GB2312" w:hAnsi="仿宋_GB2312" w:eastAsia="仿宋_GB2312" w:cs="仿宋_GB2312"/>
          <w:b w:val="0"/>
          <w:bCs w:val="0"/>
          <w:sz w:val="32"/>
          <w:szCs w:val="32"/>
        </w:rPr>
      </w:pPr>
      <w:r>
        <w:rPr>
          <w:rFonts w:hint="default" w:ascii="黑体" w:hAnsi="黑体" w:eastAsia="黑体" w:cs="黑体"/>
          <w:b w:val="0"/>
          <w:bCs w:val="0"/>
          <w:sz w:val="32"/>
          <w:szCs w:val="32"/>
        </w:rPr>
        <w:t>三、推进跨境电商阳光化试点</w:t>
      </w:r>
    </w:p>
    <w:p>
      <w:pPr>
        <w:keepNext w:val="0"/>
        <w:keepLines w:val="0"/>
        <w:pageBreakBefore w:val="0"/>
        <w:widowControl w:val="0"/>
        <w:numPr>
          <w:ilvl w:val="0"/>
          <w:numId w:val="0"/>
        </w:numPr>
        <w:kinsoku/>
        <w:wordWrap/>
        <w:overflowPunct/>
        <w:topLinePunct w:val="0"/>
        <w:autoSpaceDE/>
        <w:autoSpaceDN/>
        <w:bidi w:val="0"/>
        <w:spacing w:line="560" w:lineRule="exact"/>
        <w:ind w:right="0" w:firstLine="640" w:firstLineChars="200"/>
        <w:textAlignment w:val="auto"/>
        <w:rPr>
          <w:rFonts w:hint="default" w:ascii="仿宋_GB2312" w:hAnsi="仿宋_GB2312" w:eastAsia="仿宋_GB2312" w:cs="仿宋_GB2312"/>
          <w:sz w:val="32"/>
          <w:szCs w:val="32"/>
        </w:rPr>
      </w:pPr>
      <w:r>
        <w:rPr>
          <w:rFonts w:hint="eastAsia" w:ascii="仿宋_GB2312" w:hAnsi="仿宋_GB2312" w:eastAsia="仿宋_GB2312" w:cs="仿宋_GB2312"/>
          <w:b w:val="0"/>
          <w:bCs w:val="0"/>
          <w:sz w:val="32"/>
          <w:szCs w:val="32"/>
        </w:rPr>
        <w:t>针对中小跨境电商企业“无票”“关汇错配”的痛点，我局近年来在全国范围内率先提出并积极推进阳光化试点工作，通过推出跨境电商9610、9710阳光化公共服务产品和全模式阳光化公共服务平台，为跨境电商企业提供</w:t>
      </w:r>
      <w:r>
        <w:rPr>
          <w:rFonts w:hint="eastAsia" w:ascii="仿宋_GB2312" w:hAnsi="仿宋_GB2312" w:eastAsia="仿宋_GB2312" w:cs="仿宋_GB2312"/>
          <w:sz w:val="32"/>
          <w:szCs w:val="32"/>
        </w:rPr>
        <w:t>通关、收结汇、出口退税的全链条阳光化解决方案</w:t>
      </w:r>
      <w:r>
        <w:rPr>
          <w:rFonts w:hint="default" w:ascii="仿宋_GB2312" w:hAnsi="仿宋_GB2312" w:eastAsia="仿宋_GB2312" w:cs="仿宋_GB2312"/>
          <w:sz w:val="32"/>
          <w:szCs w:val="32"/>
        </w:rPr>
        <w:t>，并协调监管部门在通关、外汇收付结算、税务等方面给予便利化措施支持，推动跨境电商企业持续健康发展壮大。</w:t>
      </w:r>
    </w:p>
    <w:p>
      <w:pPr>
        <w:keepNext w:val="0"/>
        <w:keepLines w:val="0"/>
        <w:pageBreakBefore w:val="0"/>
        <w:widowControl w:val="0"/>
        <w:numPr>
          <w:ilvl w:val="0"/>
          <w:numId w:val="0"/>
        </w:numPr>
        <w:kinsoku/>
        <w:wordWrap/>
        <w:overflowPunct/>
        <w:topLinePunct w:val="0"/>
        <w:autoSpaceDE/>
        <w:autoSpaceDN/>
        <w:bidi w:val="0"/>
        <w:spacing w:line="560" w:lineRule="exact"/>
        <w:ind w:right="0" w:firstLine="640" w:firstLineChars="200"/>
        <w:textAlignment w:val="auto"/>
        <w:rPr>
          <w:rFonts w:hint="default" w:ascii="仿宋_GB2312" w:hAnsi="仿宋_GB2312" w:eastAsia="仿宋_GB2312" w:cs="仿宋_GB2312"/>
          <w:sz w:val="32"/>
          <w:szCs w:val="32"/>
        </w:rPr>
      </w:pPr>
      <w:r>
        <w:rPr>
          <w:rFonts w:hint="eastAsia" w:ascii="黑体" w:hAnsi="黑体" w:eastAsia="黑体" w:cs="黑体"/>
          <w:sz w:val="32"/>
          <w:szCs w:val="32"/>
        </w:rPr>
        <w:t>四、强化跨境电商公共服务</w:t>
      </w:r>
    </w:p>
    <w:p>
      <w:pPr>
        <w:keepNext w:val="0"/>
        <w:keepLines w:val="0"/>
        <w:pageBreakBefore w:val="0"/>
        <w:widowControl w:val="0"/>
        <w:numPr>
          <w:ilvl w:val="0"/>
          <w:numId w:val="0"/>
        </w:numPr>
        <w:kinsoku/>
        <w:wordWrap/>
        <w:overflowPunct/>
        <w:topLinePunct w:val="0"/>
        <w:autoSpaceDE/>
        <w:autoSpaceDN/>
        <w:bidi w:val="0"/>
        <w:spacing w:line="560" w:lineRule="exact"/>
        <w:ind w:right="0" w:firstLine="642"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b/>
          <w:bCs/>
          <w:sz w:val="32"/>
          <w:szCs w:val="32"/>
        </w:rPr>
        <w:t>一是</w:t>
      </w:r>
      <w:r>
        <w:rPr>
          <w:rFonts w:hint="default" w:ascii="仿宋_GB2312" w:hAnsi="仿宋_GB2312" w:eastAsia="仿宋_GB2312" w:cs="仿宋_GB2312"/>
          <w:sz w:val="32"/>
          <w:szCs w:val="32"/>
        </w:rPr>
        <w:t>在深圳市跨境电商线上综合服务平台上线风险防控、金融服务、海外仓、丝路电商和人才培育等系列公共服务专栏，便利企业通过平台开展相关业务、了解相关市场动态和风险信息。</w:t>
      </w:r>
      <w:r>
        <w:rPr>
          <w:rFonts w:hint="default" w:ascii="仿宋_GB2312" w:hAnsi="仿宋_GB2312" w:eastAsia="仿宋_GB2312" w:cs="仿宋_GB2312"/>
          <w:b/>
          <w:bCs/>
          <w:sz w:val="32"/>
          <w:szCs w:val="32"/>
        </w:rPr>
        <w:t>二是</w:t>
      </w:r>
      <w:r>
        <w:rPr>
          <w:rFonts w:hint="default" w:ascii="仿宋_GB2312" w:hAnsi="仿宋_GB2312" w:eastAsia="仿宋_GB2312" w:cs="仿宋_GB2312"/>
          <w:sz w:val="32"/>
          <w:szCs w:val="32"/>
        </w:rPr>
        <w:t>通过深圳电子商务大讲堂，面向广大市场主体提供第三方电商平台运营、引流、品牌打造、选品、合规发展等专题培训。</w:t>
      </w:r>
      <w:r>
        <w:rPr>
          <w:rFonts w:hint="default" w:ascii="仿宋_GB2312" w:hAnsi="仿宋_GB2312" w:eastAsia="仿宋_GB2312" w:cs="仿宋_GB2312"/>
          <w:b/>
          <w:bCs/>
          <w:sz w:val="32"/>
          <w:szCs w:val="32"/>
        </w:rPr>
        <w:t>三是</w:t>
      </w:r>
      <w:r>
        <w:rPr>
          <w:rFonts w:hint="default" w:ascii="仿宋_GB2312" w:hAnsi="仿宋_GB2312" w:eastAsia="仿宋_GB2312" w:cs="仿宋_GB2312"/>
          <w:sz w:val="32"/>
          <w:szCs w:val="32"/>
        </w:rPr>
        <w:t>联合亚马逊、阿里巴巴国际站、Shopline等平台为企业开展跨境电商业务提供上门服务，宣贯政府支持政策、平台优惠政策等。</w:t>
      </w:r>
    </w:p>
    <w:p>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ascii="仿宋_GB2312" w:eastAsia="仿宋_GB2312"/>
          <w:sz w:val="32"/>
          <w:szCs w:val="32"/>
        </w:rPr>
      </w:pPr>
      <w:r>
        <w:rPr>
          <w:rFonts w:hint="default" w:ascii="仿宋_GB2312" w:eastAsia="仿宋_GB2312"/>
          <w:sz w:val="32"/>
          <w:szCs w:val="32"/>
        </w:rPr>
        <w:t>此函</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right="0" w:firstLine="480" w:firstLineChars="15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right="0" w:firstLine="480" w:firstLineChars="15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spacing w:line="560" w:lineRule="exact"/>
        <w:ind w:right="0" w:firstLine="480" w:firstLineChars="150"/>
        <w:jc w:val="center"/>
        <w:textAlignment w:val="auto"/>
        <w:rPr>
          <w:rFonts w:ascii="仿宋_GB2312" w:eastAsia="仿宋_GB2312"/>
          <w:sz w:val="32"/>
          <w:szCs w:val="32"/>
        </w:rPr>
      </w:pPr>
      <w:r>
        <w:rPr>
          <w:rFonts w:hint="default" w:ascii="仿宋_GB2312" w:eastAsia="仿宋_GB2312"/>
          <w:sz w:val="32"/>
          <w:szCs w:val="32"/>
        </w:rPr>
        <w:t xml:space="preserve">                     </w:t>
      </w:r>
      <w:r>
        <w:rPr>
          <w:rFonts w:ascii="仿宋_GB2312" w:eastAsia="仿宋_GB2312"/>
          <w:sz w:val="32"/>
          <w:szCs w:val="32"/>
        </w:rPr>
        <w:t>深圳市商务局</w:t>
      </w:r>
    </w:p>
    <w:p>
      <w:pPr>
        <w:keepNext w:val="0"/>
        <w:keepLines w:val="0"/>
        <w:pageBreakBefore w:val="0"/>
        <w:widowControl w:val="0"/>
        <w:kinsoku/>
        <w:wordWrap/>
        <w:overflowPunct/>
        <w:topLinePunct w:val="0"/>
        <w:autoSpaceDE/>
        <w:autoSpaceDN/>
        <w:bidi w:val="0"/>
        <w:spacing w:line="560" w:lineRule="exact"/>
        <w:ind w:right="0" w:firstLine="480" w:firstLineChars="150"/>
        <w:jc w:val="center"/>
        <w:textAlignment w:val="auto"/>
        <w:rPr>
          <w:rFonts w:ascii="仿宋_GB2312" w:eastAsia="仿宋_GB2312"/>
          <w:sz w:val="32"/>
          <w:szCs w:val="32"/>
        </w:rPr>
      </w:pPr>
      <w:r>
        <w:rPr>
          <w:rFonts w:hint="default" w:ascii="仿宋_GB2312" w:eastAsia="仿宋_GB2312"/>
          <w:sz w:val="32"/>
          <w:szCs w:val="32"/>
        </w:rPr>
        <w:t xml:space="preserve">                     </w:t>
      </w:r>
      <w:r>
        <w:rPr>
          <w:rFonts w:ascii="仿宋_GB2312" w:eastAsia="仿宋_GB2312"/>
          <w:sz w:val="32"/>
          <w:szCs w:val="32"/>
        </w:rPr>
        <w:t>202</w:t>
      </w:r>
      <w:r>
        <w:rPr>
          <w:rFonts w:hint="eastAsia" w:ascii="仿宋_GB2312" w:eastAsia="仿宋_GB2312"/>
          <w:sz w:val="32"/>
          <w:szCs w:val="32"/>
          <w:lang w:val="en-US" w:eastAsia="zh-CN"/>
        </w:rPr>
        <w:t>4</w:t>
      </w:r>
      <w:r>
        <w:rPr>
          <w:rFonts w:ascii="仿宋_GB2312" w:eastAsia="仿宋_GB2312"/>
          <w:sz w:val="32"/>
          <w:szCs w:val="32"/>
        </w:rPr>
        <w:t>年</w:t>
      </w:r>
      <w:r>
        <w:rPr>
          <w:rFonts w:hint="default" w:ascii="仿宋_GB2312" w:eastAsia="仿宋_GB2312"/>
          <w:sz w:val="32"/>
          <w:szCs w:val="32"/>
        </w:rPr>
        <w:t>4</w:t>
      </w:r>
      <w:r>
        <w:rPr>
          <w:rFonts w:ascii="仿宋_GB2312" w:eastAsia="仿宋_GB2312"/>
          <w:sz w:val="32"/>
          <w:szCs w:val="32"/>
        </w:rPr>
        <w:t>月</w:t>
      </w:r>
      <w:r>
        <w:rPr>
          <w:rFonts w:hint="default" w:ascii="仿宋_GB2312" w:eastAsia="仿宋_GB2312"/>
          <w:sz w:val="32"/>
          <w:szCs w:val="32"/>
        </w:rPr>
        <w:t>28</w:t>
      </w:r>
      <w:r>
        <w:rPr>
          <w:rFonts w:ascii="仿宋_GB2312" w:eastAsia="仿宋_GB2312"/>
          <w:sz w:val="32"/>
          <w:szCs w:val="32"/>
        </w:rPr>
        <w:t>日</w:t>
      </w:r>
    </w:p>
    <w:p>
      <w:pPr>
        <w:keepNext w:val="0"/>
        <w:keepLines w:val="0"/>
        <w:pageBreakBefore w:val="0"/>
        <w:widowControl w:val="0"/>
        <w:kinsoku/>
        <w:wordWrap/>
        <w:overflowPunct/>
        <w:topLinePunct w:val="0"/>
        <w:autoSpaceDE/>
        <w:autoSpaceDN/>
        <w:bidi w:val="0"/>
        <w:spacing w:line="560" w:lineRule="exact"/>
        <w:ind w:right="0"/>
        <w:jc w:val="left"/>
        <w:textAlignment w:val="auto"/>
        <w:rPr>
          <w:rFonts w:hint="eastAsia" w:ascii="仿宋_GB2312" w:eastAsia="仿宋_GB2312"/>
          <w:sz w:val="32"/>
          <w:szCs w:val="32"/>
        </w:rPr>
      </w:pPr>
    </w:p>
    <w:p>
      <w:pPr>
        <w:pStyle w:val="2"/>
        <w:keepNext w:val="0"/>
        <w:keepLines w:val="0"/>
        <w:pageBreakBefore w:val="0"/>
        <w:widowControl w:val="0"/>
        <w:kinsoku/>
        <w:wordWrap/>
        <w:overflowPunct/>
        <w:topLinePunct w:val="0"/>
        <w:autoSpaceDE/>
        <w:autoSpaceDN/>
        <w:bidi w:val="0"/>
        <w:spacing w:after="0" w:line="560" w:lineRule="exact"/>
        <w:ind w:right="0"/>
        <w:textAlignment w:val="auto"/>
        <w:rPr>
          <w:rFonts w:hint="eastAsia"/>
        </w:rPr>
      </w:pPr>
      <w:bookmarkStart w:id="1" w:name="_GoBack"/>
      <w:bookmarkEnd w:id="1"/>
    </w:p>
    <w:p>
      <w:pPr>
        <w:keepNext w:val="0"/>
        <w:keepLines w:val="0"/>
        <w:pageBreakBefore w:val="0"/>
        <w:widowControl w:val="0"/>
        <w:tabs>
          <w:tab w:val="left" w:pos="1843"/>
        </w:tabs>
        <w:kinsoku/>
        <w:wordWrap/>
        <w:overflowPunct/>
        <w:topLinePunct w:val="0"/>
        <w:autoSpaceDE/>
        <w:autoSpaceDN/>
        <w:bidi w:val="0"/>
        <w:spacing w:line="560" w:lineRule="exact"/>
        <w:ind w:right="0"/>
        <w:textAlignment w:val="auto"/>
        <w:rPr>
          <w:rFonts w:hint="eastAsia" w:ascii="仿宋_GB2312" w:eastAsia="仿宋_GB2312"/>
          <w:sz w:val="32"/>
          <w:szCs w:val="32"/>
        </w:rPr>
      </w:pPr>
    </w:p>
    <w:p>
      <w:pPr>
        <w:keepNext w:val="0"/>
        <w:keepLines w:val="0"/>
        <w:pageBreakBefore w:val="0"/>
        <w:widowControl w:val="0"/>
        <w:tabs>
          <w:tab w:val="left" w:pos="1843"/>
        </w:tabs>
        <w:kinsoku/>
        <w:wordWrap/>
        <w:overflowPunct/>
        <w:topLinePunct w:val="0"/>
        <w:autoSpaceDE/>
        <w:autoSpaceDN/>
        <w:bidi w:val="0"/>
        <w:spacing w:line="560" w:lineRule="exact"/>
        <w:ind w:right="0"/>
        <w:textAlignment w:val="auto"/>
      </w:pPr>
      <w:r>
        <w:rPr>
          <w:rFonts w:hint="eastAsia" w:ascii="仿宋_GB2312" w:eastAsia="仿宋_GB2312"/>
          <w:sz w:val="32"/>
          <w:szCs w:val="32"/>
        </w:rPr>
        <w:t>公开类型：</w:t>
      </w:r>
      <w:r>
        <w:rPr>
          <w:rFonts w:hint="default" w:ascii="仿宋_GB2312" w:eastAsia="仿宋_GB2312"/>
          <w:sz w:val="32"/>
          <w:szCs w:val="32"/>
        </w:rPr>
        <w:t>依申请</w:t>
      </w:r>
      <w:r>
        <w:rPr>
          <w:rFonts w:hint="eastAsia" w:ascii="仿宋_GB2312" w:eastAsia="仿宋_GB2312"/>
          <w:sz w:val="32"/>
          <w:szCs w:val="32"/>
        </w:rPr>
        <w:t>公开</w:t>
      </w:r>
    </w:p>
    <w:sectPr>
      <w:footerReference r:id="rId3" w:type="default"/>
      <w:pgSz w:w="11906" w:h="16838"/>
      <w:pgMar w:top="1814" w:right="1474" w:bottom="1814" w:left="147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004020304"/>
    <w:charset w:val="86"/>
    <w:family w:val="auto"/>
    <w:pitch w:val="default"/>
    <w:sig w:usb0="00000000" w:usb1="00000000"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004030204"/>
    <w:charset w:val="00"/>
    <w:family w:val="roman"/>
    <w:pitch w:val="default"/>
    <w:sig w:usb0="00000000" w:usb1="00000000" w:usb2="02000000" w:usb3="00000000" w:csb0="0000019F" w:csb1="00000000"/>
  </w:font>
  <w:font w:name="FreeSerif">
    <w:panose1 w:val="02020603050405020304"/>
    <w:charset w:val="00"/>
    <w:family w:val="auto"/>
    <w:pitch w:val="default"/>
    <w:sig w:usb0="E59FAFFF" w:usb1="C200FDFF" w:usb2="43501B29" w:usb3="04000043" w:csb0="6001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FgAAAGRycy9QSwECFAAUAAAACACHTuJAuXW5UtAAAAAFAQAADwAAAAAAAAABACAAAAA4&#10;AAAAZHJzL2Rvd25yZXYueG1sUEsBAhQAFAAAAAgAh07iQLGdxC3DAQAAhwMAAA4AAAAAAAAAAQAg&#10;AAAANQEAAGRycy9lMm9Eb2MueG1sUEsFBgAAAAAGAAYAWQEAAGoFA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embedSystemFonts/>
  <w:bordersDoNotSurroundHeader w:val="1"/>
  <w:bordersDoNotSurroundFooter w:val="1"/>
  <w:revisionView w:markup="0"/>
  <w:documentProtection w:edit="trackedChange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E6D92C0"/>
    <w:rsid w:val="7FAFA0C6"/>
    <w:rsid w:val="ACB58873"/>
    <w:rsid w:val="EEFCC5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0"/>
    <w:pPr>
      <w:widowControl w:val="0"/>
      <w:spacing w:before="240" w:after="60"/>
      <w:jc w:val="center"/>
      <w:outlineLvl w:val="0"/>
    </w:pPr>
    <w:rPr>
      <w:rFonts w:ascii="Cambria" w:hAnsi="Cambria" w:eastAsia="宋体" w:cs="Times New Roman"/>
      <w:b/>
      <w:bCs/>
      <w:kern w:val="2"/>
      <w:sz w:val="32"/>
      <w:szCs w:val="32"/>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bottom w:val="single" w:color="auto" w:sz="6" w:space="1"/>
      </w:pBdr>
      <w:tabs>
        <w:tab w:val="center" w:pos="4153"/>
        <w:tab w:val="right" w:pos="8306"/>
      </w:tabs>
      <w:snapToGrid w:val="0"/>
      <w:jc w:val="center"/>
    </w:pPr>
    <w:rPr>
      <w:kern w:val="0"/>
      <w:sz w:val="18"/>
      <w:szCs w:val="18"/>
    </w:rPr>
  </w:style>
  <w:style w:type="paragraph" w:customStyle="1" w:styleId="8">
    <w:name w:val="_Style 1"/>
    <w:basedOn w:val="1"/>
    <w:qFormat/>
    <w:uiPriority w:val="0"/>
    <w:pPr>
      <w:spacing w:before="0" w:beforeAutospacing="0" w:after="0"/>
      <w:ind w:firstLine="200" w:firstLineChars="200"/>
    </w:pPr>
    <w:rPr>
      <w:rFonts w:ascii="宋体" w:hAnsi="宋体" w:eastAsia="仿宋_GB2312" w:cs="Times New Roman"/>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2022-03-09T23:01:00Z</dcterms:created>
  <dc:creator>86151</dc:creator>
  <cp:lastModifiedBy>陈欣然</cp:lastModifiedBy>
  <dcterms:modified xsi:type="dcterms:W3CDTF">2024-10-15T11:11:03Z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F5DF7A882A0F2F17148D20665EA0C903</vt:lpwstr>
  </property>
</Properties>
</file>