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tabs>
          <w:tab w:val="left" w:pos="1843"/>
        </w:tabs>
        <w:spacing w:line="56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深圳市商务局关于对</w:t>
      </w:r>
      <w:r>
        <w:rPr>
          <w:rFonts w:hint="eastAsia" w:ascii="方正小标宋简体" w:hAnsi="方正小标宋简体" w:eastAsia="方正小标宋简体" w:cs="方正小标宋简体"/>
          <w:sz w:val="44"/>
          <w:szCs w:val="44"/>
          <w:lang w:val="en-US" w:eastAsia="zh-CN"/>
        </w:rPr>
        <w:t>市政协七届四次会议</w:t>
      </w:r>
    </w:p>
    <w:p>
      <w:pPr>
        <w:tabs>
          <w:tab w:val="left" w:pos="1843"/>
        </w:tabs>
        <w:spacing w:line="560" w:lineRule="exact"/>
        <w:jc w:val="center"/>
        <w:rPr>
          <w:rFonts w:hint="default"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sz w:val="44"/>
          <w:szCs w:val="44"/>
          <w:lang w:val="en-US" w:eastAsia="zh-CN"/>
        </w:rPr>
        <w:t>第20240260</w:t>
      </w:r>
      <w:r>
        <w:rPr>
          <w:rFonts w:hint="eastAsia" w:ascii="方正小标宋简体" w:hAnsi="方正小标宋简体" w:eastAsia="方正小标宋简体" w:cs="方正小标宋简体"/>
          <w:sz w:val="44"/>
          <w:szCs w:val="44"/>
        </w:rPr>
        <w:t>号提案答复</w:t>
      </w:r>
      <w:r>
        <w:rPr>
          <w:rFonts w:hint="eastAsia" w:ascii="方正小标宋简体" w:hAnsi="方正小标宋简体" w:eastAsia="方正小标宋简体" w:cs="方正小标宋简体"/>
          <w:sz w:val="44"/>
          <w:szCs w:val="44"/>
          <w:lang w:val="en-US" w:eastAsia="zh-CN"/>
        </w:rPr>
        <w:t>意见的函</w:t>
      </w:r>
    </w:p>
    <w:p>
      <w:pPr>
        <w:tabs>
          <w:tab w:val="left" w:pos="1843"/>
        </w:tabs>
        <w:spacing w:line="560" w:lineRule="exact"/>
      </w:pPr>
    </w:p>
    <w:p>
      <w:pPr>
        <w:tabs>
          <w:tab w:val="left" w:pos="1843"/>
        </w:tabs>
        <w:spacing w:line="560" w:lineRule="exact"/>
        <w:rPr>
          <w:rFonts w:ascii="仿宋_GB2312" w:eastAsia="仿宋_GB2312"/>
          <w:sz w:val="32"/>
          <w:szCs w:val="32"/>
        </w:rPr>
      </w:pPr>
      <w:r>
        <w:rPr>
          <w:rFonts w:hint="eastAsia" w:ascii="仿宋_GB2312" w:eastAsia="仿宋_GB2312"/>
          <w:sz w:val="32"/>
          <w:szCs w:val="32"/>
        </w:rPr>
        <w:t>尊敬的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杨小文</w:t>
      </w:r>
      <w:r>
        <w:rPr>
          <w:rFonts w:hint="eastAsia" w:ascii="仿宋_GB2312" w:eastAsia="仿宋_GB2312"/>
          <w:sz w:val="32"/>
          <w:szCs w:val="32"/>
        </w:rPr>
        <w:t>委员：</w:t>
      </w:r>
    </w:p>
    <w:p>
      <w:pPr>
        <w:tabs>
          <w:tab w:val="left" w:pos="1843"/>
        </w:tabs>
        <w:spacing w:line="560" w:lineRule="exact"/>
        <w:ind w:firstLine="645"/>
        <w:rPr>
          <w:rFonts w:ascii="仿宋_GB2312" w:eastAsia="仿宋_GB2312"/>
          <w:sz w:val="32"/>
          <w:szCs w:val="32"/>
        </w:rPr>
      </w:pPr>
      <w:r>
        <w:rPr>
          <w:rFonts w:hint="eastAsia" w:ascii="仿宋_GB2312" w:eastAsia="仿宋_GB2312"/>
          <w:sz w:val="32"/>
          <w:szCs w:val="32"/>
        </w:rPr>
        <w:t>您在市政协七届</w:t>
      </w:r>
      <w:r>
        <w:rPr>
          <w:rFonts w:hint="eastAsia" w:ascii="仿宋_GB2312" w:eastAsia="仿宋_GB2312"/>
          <w:sz w:val="32"/>
          <w:szCs w:val="32"/>
          <w:lang w:val="en-US" w:eastAsia="zh-CN"/>
        </w:rPr>
        <w:t>四</w:t>
      </w:r>
      <w:r>
        <w:rPr>
          <w:rFonts w:hint="eastAsia" w:ascii="仿宋_GB2312" w:eastAsia="仿宋_GB2312"/>
          <w:sz w:val="32"/>
          <w:szCs w:val="32"/>
        </w:rPr>
        <w:t>次会议上</w:t>
      </w:r>
      <w:r>
        <w:rPr>
          <w:rFonts w:hint="eastAsia" w:ascii="仿宋_GB2312" w:eastAsia="仿宋_GB2312"/>
          <w:sz w:val="32"/>
          <w:szCs w:val="32"/>
          <w:lang w:val="en-US" w:eastAsia="zh-CN"/>
        </w:rPr>
        <w:t>的《关于促进地摊经济发展的提案》收</w:t>
      </w:r>
      <w:r>
        <w:rPr>
          <w:rFonts w:hint="eastAsia" w:ascii="仿宋_GB2312" w:eastAsia="仿宋_GB2312"/>
          <w:sz w:val="32"/>
          <w:szCs w:val="32"/>
        </w:rPr>
        <w:t>悉</w:t>
      </w:r>
      <w:r>
        <w:rPr>
          <w:rFonts w:hint="default" w:ascii="仿宋_GB2312" w:eastAsia="仿宋_GB2312"/>
          <w:sz w:val="32"/>
          <w:szCs w:val="32"/>
        </w:rPr>
        <w:t>。</w:t>
      </w:r>
      <w:r>
        <w:rPr>
          <w:rFonts w:hint="eastAsia" w:ascii="仿宋_GB2312" w:eastAsia="仿宋_GB2312"/>
          <w:sz w:val="32"/>
          <w:szCs w:val="32"/>
        </w:rPr>
        <w:t>现就提案办理有关情况答复如下：</w:t>
      </w:r>
    </w:p>
    <w:p>
      <w:pPr>
        <w:numPr>
          <w:ilvl w:val="0"/>
          <w:numId w:val="0"/>
        </w:numPr>
        <w:tabs>
          <w:tab w:val="left" w:pos="1843"/>
        </w:tabs>
        <w:spacing w:line="560" w:lineRule="exact"/>
        <w:ind w:firstLine="646" w:firstLineChars="200"/>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针对提案</w:t>
      </w:r>
      <w:r>
        <w:rPr>
          <w:rFonts w:hint="eastAsia" w:ascii="黑体" w:hAnsi="黑体" w:eastAsia="黑体" w:cs="黑体"/>
          <w:sz w:val="32"/>
          <w:szCs w:val="32"/>
          <w:lang w:eastAsia="zh-CN"/>
        </w:rPr>
        <w:t>“加强引导、规范管理，推动地摊经济健康发展”</w:t>
      </w:r>
      <w:r>
        <w:rPr>
          <w:rFonts w:hint="eastAsia" w:ascii="黑体" w:hAnsi="黑体" w:eastAsia="黑体" w:cs="黑体"/>
          <w:sz w:val="32"/>
          <w:szCs w:val="32"/>
        </w:rPr>
        <w:t>建议</w:t>
      </w:r>
    </w:p>
    <w:p>
      <w:pPr>
        <w:pStyle w:val="2"/>
        <w:numPr>
          <w:ilvl w:val="0"/>
          <w:numId w:val="0"/>
        </w:numPr>
        <w:ind w:firstLine="646" w:firstLineChars="200"/>
        <w:rPr>
          <w:rFonts w:hint="eastAsia" w:ascii="仿宋_GB2312" w:eastAsia="仿宋_GB2312"/>
          <w:sz w:val="32"/>
          <w:szCs w:val="32"/>
        </w:rPr>
      </w:pPr>
      <w:r>
        <w:rPr>
          <w:rFonts w:hint="eastAsia" w:ascii="仿宋_GB2312" w:hAnsi="仿宋_GB2312" w:eastAsia="仿宋_GB2312" w:cs="仿宋_GB2312"/>
          <w:b/>
          <w:bCs/>
          <w:sz w:val="32"/>
          <w:szCs w:val="32"/>
          <w:lang w:val="en-US" w:eastAsia="zh-CN"/>
        </w:rPr>
        <w:t>一是</w:t>
      </w:r>
      <w:r>
        <w:rPr>
          <w:rFonts w:hint="default" w:ascii="仿宋_GB2312" w:hAnsi="仿宋_GB2312" w:cs="仿宋_GB2312"/>
          <w:b w:val="0"/>
          <w:bCs w:val="0"/>
          <w:sz w:val="32"/>
          <w:szCs w:val="32"/>
          <w:lang w:eastAsia="zh-CN"/>
        </w:rPr>
        <w:t>制订外摆和摊贩经营活动管理措施。</w:t>
      </w:r>
      <w:r>
        <w:rPr>
          <w:rFonts w:hint="eastAsia" w:ascii="仿宋_GB2312" w:hAnsi="仿宋_GB2312" w:eastAsia="仿宋_GB2312" w:cs="仿宋_GB2312"/>
          <w:bCs/>
          <w:color w:val="000000"/>
          <w:sz w:val="32"/>
          <w:szCs w:val="32"/>
        </w:rPr>
        <w:t>《深圳经济特区市容和环境卫生管理条例》（下简称《市容条例》）第十八条</w:t>
      </w:r>
      <w:r>
        <w:rPr>
          <w:rFonts w:hint="default" w:ascii="仿宋_GB2312" w:hAnsi="仿宋_GB2312" w:cs="仿宋_GB2312"/>
          <w:bCs/>
          <w:color w:val="000000"/>
          <w:sz w:val="32"/>
          <w:szCs w:val="32"/>
        </w:rPr>
        <w:t>规定：</w:t>
      </w:r>
      <w:r>
        <w:rPr>
          <w:rFonts w:hint="eastAsia" w:ascii="仿宋_GB2312" w:hAnsi="仿宋_GB2312" w:eastAsia="仿宋_GB2312" w:cs="仿宋_GB2312"/>
          <w:bCs/>
          <w:color w:val="000000"/>
          <w:sz w:val="32"/>
          <w:szCs w:val="32"/>
        </w:rPr>
        <w:t>街道办事处可以根据方便群众、布局合理、监管有序的原则划定摊贩经营场所。具体划定标准和管理办法由区人民政府会同市城管和综合执法等部门制定。</w:t>
      </w:r>
      <w:r>
        <w:rPr>
          <w:rFonts w:hint="default" w:ascii="仿宋_GB2312" w:hAnsi="仿宋_GB2312" w:cs="仿宋_GB2312"/>
          <w:bCs/>
          <w:color w:val="000000"/>
          <w:sz w:val="32"/>
          <w:szCs w:val="32"/>
        </w:rPr>
        <w:t>各区人民政府根据本区域</w:t>
      </w:r>
      <w:r>
        <w:rPr>
          <w:rFonts w:hint="eastAsia" w:ascii="仿宋_GB2312" w:hAnsi="仿宋_GB2312" w:eastAsia="仿宋_GB2312" w:cs="仿宋_GB2312"/>
          <w:bCs/>
          <w:color w:val="000000"/>
          <w:sz w:val="32"/>
          <w:szCs w:val="32"/>
        </w:rPr>
        <w:t>实际情况，</w:t>
      </w:r>
      <w:r>
        <w:rPr>
          <w:rFonts w:hint="default" w:ascii="仿宋_GB2312" w:hAnsi="仿宋_GB2312" w:cs="仿宋_GB2312"/>
          <w:bCs/>
          <w:color w:val="000000"/>
          <w:sz w:val="32"/>
          <w:szCs w:val="32"/>
        </w:rPr>
        <w:t>分别</w:t>
      </w:r>
      <w:r>
        <w:rPr>
          <w:rFonts w:hint="eastAsia" w:ascii="仿宋_GB2312" w:hAnsi="仿宋_GB2312" w:eastAsia="仿宋_GB2312" w:cs="仿宋_GB2312"/>
          <w:bCs/>
          <w:color w:val="000000"/>
          <w:sz w:val="32"/>
          <w:szCs w:val="32"/>
        </w:rPr>
        <w:t>提出</w:t>
      </w:r>
      <w:r>
        <w:rPr>
          <w:rFonts w:hint="default" w:ascii="仿宋_GB2312" w:hAnsi="仿宋_GB2312" w:cs="仿宋_GB2312"/>
          <w:bCs/>
          <w:color w:val="000000"/>
          <w:sz w:val="32"/>
          <w:szCs w:val="32"/>
        </w:rPr>
        <w:t>了</w:t>
      </w:r>
      <w:r>
        <w:rPr>
          <w:rFonts w:hint="eastAsia" w:ascii="仿宋_GB2312" w:hAnsi="仿宋_GB2312" w:eastAsia="仿宋_GB2312" w:cs="仿宋_GB2312"/>
          <w:bCs/>
          <w:color w:val="000000"/>
          <w:sz w:val="32"/>
          <w:szCs w:val="32"/>
        </w:rPr>
        <w:t>门店外摆和摊贩经营活动相关管理措施</w:t>
      </w:r>
      <w:r>
        <w:rPr>
          <w:rFonts w:hint="default" w:ascii="仿宋_GB2312" w:hAnsi="仿宋_GB2312" w:cs="仿宋_GB2312"/>
          <w:bCs/>
          <w:color w:val="000000"/>
          <w:sz w:val="32"/>
          <w:szCs w:val="32"/>
        </w:rPr>
        <w:t>，</w:t>
      </w:r>
      <w:r>
        <w:rPr>
          <w:rFonts w:hint="eastAsia" w:ascii="仿宋_GB2312" w:hAnsi="仿宋_GB2312" w:eastAsia="仿宋_GB2312" w:cs="仿宋_GB2312"/>
          <w:sz w:val="32"/>
          <w:szCs w:val="32"/>
          <w:lang w:val="en-US" w:eastAsia="zh-CN"/>
        </w:rPr>
        <w:t>明确摊贩经营场所相关设置的标准、申请备案流程、管理主体等，并明确要在规定地点、规定时间、规定经营范围内从事经营活动</w:t>
      </w:r>
      <w:r>
        <w:rPr>
          <w:rFonts w:hint="default" w:ascii="仿宋_GB2312" w:hAnsi="仿宋_GB2312" w:cs="仿宋_GB2312"/>
          <w:sz w:val="32"/>
          <w:szCs w:val="32"/>
          <w:lang w:eastAsia="zh-CN"/>
        </w:rPr>
        <w:t>。</w:t>
      </w:r>
      <w:r>
        <w:rPr>
          <w:rFonts w:hint="eastAsia" w:ascii="仿宋_GB2312" w:hAnsi="仿宋_GB2312" w:eastAsia="仿宋_GB2312" w:cs="仿宋_GB2312"/>
          <w:sz w:val="32"/>
          <w:szCs w:val="32"/>
          <w:lang w:val="en-US" w:eastAsia="zh-CN"/>
        </w:rPr>
        <w:t>各街道结合实际制定</w:t>
      </w:r>
      <w:r>
        <w:rPr>
          <w:rFonts w:hint="default" w:ascii="仿宋_GB2312" w:hAnsi="仿宋_GB2312" w:cs="仿宋_GB2312"/>
          <w:sz w:val="32"/>
          <w:szCs w:val="32"/>
          <w:lang w:eastAsia="zh-CN"/>
        </w:rPr>
        <w:t>“</w:t>
      </w:r>
      <w:r>
        <w:rPr>
          <w:rFonts w:hint="eastAsia" w:ascii="仿宋_GB2312" w:hAnsi="仿宋_GB2312" w:eastAsia="仿宋_GB2312" w:cs="仿宋_GB2312"/>
          <w:sz w:val="32"/>
          <w:szCs w:val="32"/>
          <w:lang w:val="en-US" w:eastAsia="zh-CN"/>
        </w:rPr>
        <w:t>一点一策</w:t>
      </w:r>
      <w:r>
        <w:rPr>
          <w:rFonts w:hint="default" w:ascii="仿宋_GB2312" w:hAnsi="仿宋_GB2312" w:cs="仿宋_GB2312"/>
          <w:sz w:val="32"/>
          <w:szCs w:val="32"/>
          <w:lang w:eastAsia="zh-CN"/>
        </w:rPr>
        <w:t>”</w:t>
      </w:r>
      <w:r>
        <w:rPr>
          <w:rFonts w:hint="eastAsia" w:ascii="仿宋_GB2312" w:hAnsi="仿宋_GB2312" w:eastAsia="仿宋_GB2312" w:cs="仿宋_GB2312"/>
          <w:sz w:val="32"/>
          <w:szCs w:val="32"/>
          <w:lang w:val="en-US" w:eastAsia="zh-CN"/>
        </w:rPr>
        <w:t>管理办法，明确管理主体及具体管理细则，加强对摊贩经营场所日常检查，督促经营主体依法依规从事经营行为，确保地摊经济有序运营。</w:t>
      </w:r>
      <w:r>
        <w:rPr>
          <w:rFonts w:hint="default" w:ascii="仿宋_GB2312" w:hAnsi="仿宋_GB2312" w:cs="仿宋_GB2312"/>
          <w:b/>
          <w:bCs/>
          <w:sz w:val="32"/>
          <w:szCs w:val="32"/>
          <w:lang w:eastAsia="zh-CN"/>
        </w:rPr>
        <w:t>二是</w:t>
      </w:r>
      <w:r>
        <w:rPr>
          <w:rFonts w:hint="default" w:ascii="仿宋_GB2312" w:hAnsi="仿宋_GB2312" w:cs="仿宋_GB2312"/>
          <w:sz w:val="32"/>
          <w:szCs w:val="32"/>
          <w:lang w:eastAsia="zh-CN"/>
        </w:rPr>
        <w:t>各区因地制宜划定摊贩经营场所。各区加强对本辖区摊贩经营场所的摸排调研，以满足群众基本需求为主，划定外摆及摊贩疏导场所，严管严控非指定区域的占道乱摆卖行为。</w:t>
      </w:r>
      <w:r>
        <w:rPr>
          <w:rFonts w:hint="eastAsia" w:ascii="仿宋_GB2312" w:hAnsi="仿宋_GB2312" w:eastAsia="仿宋_GB2312" w:cs="仿宋_GB2312"/>
          <w:sz w:val="32"/>
          <w:szCs w:val="32"/>
          <w:lang w:val="zh-CN"/>
        </w:rPr>
        <w:t>截至2024年4月底，全市现有摊贩经营场所156处，疏导摊位6528个，合计占地面积达20万平方米。其中，位于商业建筑红线范围内的84处，疏导摊位3535个，位于城市空地或城中村的72处，疏导摊位2993个。</w:t>
      </w:r>
      <w:r>
        <w:rPr>
          <w:rFonts w:hint="default" w:ascii="仿宋_GB2312" w:hAnsi="仿宋_GB2312" w:cs="仿宋_GB2312"/>
          <w:b/>
          <w:bCs/>
          <w:sz w:val="32"/>
          <w:szCs w:val="32"/>
          <w:lang w:eastAsia="zh-CN"/>
        </w:rPr>
        <w:t>三</w:t>
      </w:r>
      <w:r>
        <w:rPr>
          <w:rFonts w:hint="eastAsia" w:ascii="仿宋_GB2312" w:hAnsi="仿宋_GB2312" w:eastAsia="仿宋_GB2312" w:cs="仿宋_GB2312"/>
          <w:b/>
          <w:bCs/>
          <w:sz w:val="32"/>
          <w:szCs w:val="32"/>
          <w:lang w:val="en-US" w:eastAsia="zh-CN"/>
        </w:rPr>
        <w:t>是</w:t>
      </w:r>
      <w:r>
        <w:rPr>
          <w:rFonts w:hint="default" w:ascii="仿宋_GB2312" w:hAnsi="仿宋_GB2312" w:cs="仿宋_GB2312"/>
          <w:b w:val="0"/>
          <w:bCs w:val="0"/>
          <w:sz w:val="32"/>
          <w:szCs w:val="32"/>
          <w:lang w:eastAsia="zh-CN"/>
        </w:rPr>
        <w:t>打造</w:t>
      </w:r>
      <w:r>
        <w:rPr>
          <w:rFonts w:hint="eastAsia" w:ascii="仿宋_GB2312" w:hAnsi="仿宋_GB2312" w:eastAsia="仿宋_GB2312" w:cs="仿宋_GB2312"/>
          <w:sz w:val="32"/>
          <w:szCs w:val="32"/>
          <w:lang w:val="zh-CN"/>
        </w:rPr>
        <w:t>一批有特色的</w:t>
      </w:r>
      <w:r>
        <w:rPr>
          <w:rFonts w:hint="default" w:ascii="仿宋_GB2312" w:hAnsi="仿宋_GB2312" w:cs="仿宋_GB2312"/>
          <w:sz w:val="32"/>
          <w:szCs w:val="32"/>
        </w:rPr>
        <w:t>高品质</w:t>
      </w:r>
      <w:r>
        <w:rPr>
          <w:rFonts w:hint="eastAsia" w:ascii="仿宋_GB2312" w:hAnsi="仿宋_GB2312" w:eastAsia="仿宋_GB2312" w:cs="仿宋_GB2312"/>
          <w:sz w:val="32"/>
          <w:szCs w:val="32"/>
          <w:lang w:val="zh-CN"/>
        </w:rPr>
        <w:t>夜间经济消费街区</w:t>
      </w:r>
      <w:r>
        <w:rPr>
          <w:rFonts w:hint="default" w:ascii="仿宋_GB2312" w:hAnsi="仿宋_GB2312" w:cs="仿宋_GB2312"/>
          <w:sz w:val="32"/>
          <w:szCs w:val="32"/>
        </w:rPr>
        <w:t>。在引导地摊经济健康发展方面，突出</w:t>
      </w:r>
      <w:r>
        <w:rPr>
          <w:rFonts w:hint="eastAsia" w:ascii="仿宋_GB2312" w:hAnsi="仿宋_GB2312" w:eastAsia="仿宋_GB2312" w:cs="仿宋_GB2312"/>
          <w:sz w:val="32"/>
          <w:szCs w:val="32"/>
          <w:lang w:val="zh-CN"/>
        </w:rPr>
        <w:t>示范引领，</w:t>
      </w:r>
      <w:r>
        <w:rPr>
          <w:rFonts w:hint="default" w:ascii="仿宋_GB2312" w:hAnsi="仿宋_GB2312" w:cs="仿宋_GB2312"/>
          <w:sz w:val="32"/>
          <w:szCs w:val="32"/>
        </w:rPr>
        <w:t>营造良好的消费氛围。联动主流媒体聚焦各区商圈推出的“夜游、夜购、夜娱、夜市、夜赏”主题促消费活动，培育和打造一批夜间消费新场景，例如举行凡几市集、银盐复古市集、露天电影、音乐Live演出、冷烟花秀等丰富多样的“夜经济”活动，做旺新“夜”态</w:t>
      </w:r>
      <w:r>
        <w:rPr>
          <w:lang w:val="zh-CN"/>
        </w:rPr>
        <w:t>。</w:t>
      </w:r>
    </w:p>
    <w:p>
      <w:pPr>
        <w:numPr>
          <w:ilvl w:val="0"/>
          <w:numId w:val="1"/>
        </w:numPr>
        <w:tabs>
          <w:tab w:val="left" w:pos="1843"/>
        </w:tabs>
        <w:spacing w:line="560" w:lineRule="exact"/>
        <w:ind w:firstLine="646"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针对提案“加强监督执法，规范地摊经济有序发展”建议</w:t>
      </w:r>
    </w:p>
    <w:p>
      <w:pPr>
        <w:pStyle w:val="2"/>
        <w:numPr>
          <w:ilvl w:val="0"/>
          <w:numId w:val="0"/>
        </w:numPr>
        <w:ind w:firstLine="646" w:firstLineChars="200"/>
        <w:rPr>
          <w:rFonts w:hint="default" w:ascii="仿宋_GB2312" w:hAnsi="仿宋_GB2312" w:eastAsia="仿宋_GB2312" w:cs="仿宋_GB2312"/>
          <w:sz w:val="32"/>
          <w:szCs w:val="32"/>
          <w:lang w:eastAsia="zh-CN"/>
        </w:rPr>
      </w:pPr>
      <w:r>
        <w:rPr>
          <w:rFonts w:hint="eastAsia" w:ascii="仿宋_GB2312" w:hAnsi="仿宋_GB2312" w:eastAsia="仿宋_GB2312" w:cs="仿宋_GB2312"/>
          <w:b/>
          <w:bCs w:val="0"/>
          <w:color w:val="000000"/>
          <w:sz w:val="32"/>
          <w:szCs w:val="32"/>
          <w:lang w:val="en-US" w:eastAsia="zh-CN"/>
        </w:rPr>
        <w:t>一是</w:t>
      </w:r>
      <w:r>
        <w:rPr>
          <w:rFonts w:hint="eastAsia" w:ascii="仿宋_GB2312" w:hAnsi="仿宋_GB2312" w:eastAsia="仿宋_GB2312" w:cs="仿宋_GB2312"/>
          <w:bCs/>
          <w:color w:val="000000"/>
          <w:sz w:val="32"/>
          <w:szCs w:val="32"/>
          <w:lang w:val="en-US" w:eastAsia="zh-CN"/>
        </w:rPr>
        <w:t>市</w:t>
      </w:r>
      <w:r>
        <w:rPr>
          <w:rFonts w:hint="default" w:ascii="仿宋_GB2312" w:hAnsi="仿宋_GB2312" w:cs="仿宋_GB2312"/>
          <w:bCs/>
          <w:color w:val="000000"/>
          <w:sz w:val="32"/>
          <w:szCs w:val="32"/>
          <w:lang w:eastAsia="zh-CN"/>
        </w:rPr>
        <w:t>、区</w:t>
      </w:r>
      <w:r>
        <w:rPr>
          <w:rFonts w:hint="eastAsia" w:ascii="仿宋_GB2312" w:hAnsi="仿宋_GB2312" w:eastAsia="仿宋_GB2312" w:cs="仿宋_GB2312"/>
          <w:bCs/>
          <w:color w:val="000000"/>
          <w:sz w:val="32"/>
          <w:szCs w:val="32"/>
          <w:lang w:val="en-US" w:eastAsia="zh-CN"/>
        </w:rPr>
        <w:t>城管、市监</w:t>
      </w:r>
      <w:r>
        <w:rPr>
          <w:rFonts w:hint="default" w:ascii="仿宋_GB2312" w:hAnsi="仿宋_GB2312" w:cs="仿宋_GB2312"/>
          <w:bCs/>
          <w:color w:val="000000"/>
          <w:sz w:val="32"/>
          <w:szCs w:val="32"/>
          <w:lang w:eastAsia="zh-CN"/>
        </w:rPr>
        <w:t>等执法部门</w:t>
      </w:r>
      <w:r>
        <w:rPr>
          <w:rFonts w:hint="eastAsia" w:ascii="仿宋_GB2312" w:hAnsi="仿宋_GB2312" w:eastAsia="仿宋_GB2312" w:cs="仿宋_GB2312"/>
          <w:bCs/>
          <w:color w:val="000000"/>
          <w:sz w:val="32"/>
          <w:szCs w:val="32"/>
        </w:rPr>
        <w:t>建立协同工作机制，严惩违法违规行为。</w:t>
      </w:r>
      <w:r>
        <w:rPr>
          <w:rFonts w:hint="default" w:ascii="仿宋_GB2312" w:hAnsi="仿宋_GB2312" w:cs="仿宋_GB2312"/>
          <w:bCs/>
          <w:color w:val="000000"/>
          <w:sz w:val="32"/>
          <w:szCs w:val="32"/>
        </w:rPr>
        <w:t>市、区、</w:t>
      </w:r>
      <w:r>
        <w:rPr>
          <w:rFonts w:hint="eastAsia" w:ascii="仿宋_GB2312" w:hAnsi="仿宋_GB2312" w:eastAsia="仿宋_GB2312" w:cs="仿宋_GB2312"/>
          <w:bCs/>
          <w:color w:val="000000"/>
          <w:sz w:val="32"/>
          <w:szCs w:val="32"/>
        </w:rPr>
        <w:t>街道</w:t>
      </w:r>
      <w:r>
        <w:rPr>
          <w:rFonts w:hint="default" w:ascii="仿宋_GB2312" w:hAnsi="仿宋_GB2312" w:cs="仿宋_GB2312"/>
          <w:bCs/>
          <w:color w:val="000000"/>
          <w:sz w:val="32"/>
          <w:szCs w:val="32"/>
        </w:rPr>
        <w:t>三级</w:t>
      </w:r>
      <w:r>
        <w:rPr>
          <w:rFonts w:hint="eastAsia" w:ascii="仿宋_GB2312" w:hAnsi="仿宋_GB2312" w:eastAsia="仿宋_GB2312" w:cs="仿宋_GB2312"/>
          <w:bCs/>
          <w:color w:val="000000"/>
          <w:sz w:val="32"/>
          <w:szCs w:val="32"/>
        </w:rPr>
        <w:t>执法</w:t>
      </w:r>
      <w:r>
        <w:rPr>
          <w:rFonts w:hint="default" w:ascii="仿宋_GB2312" w:hAnsi="仿宋_GB2312" w:cs="仿宋_GB2312"/>
          <w:bCs/>
          <w:color w:val="000000"/>
          <w:sz w:val="32"/>
          <w:szCs w:val="32"/>
        </w:rPr>
        <w:t>机构</w:t>
      </w:r>
      <w:r>
        <w:rPr>
          <w:rFonts w:hint="eastAsia" w:ascii="仿宋_GB2312" w:hAnsi="仿宋_GB2312" w:eastAsia="仿宋_GB2312" w:cs="仿宋_GB2312"/>
          <w:bCs/>
          <w:color w:val="000000"/>
          <w:sz w:val="32"/>
          <w:szCs w:val="32"/>
        </w:rPr>
        <w:t>持续开展占道经营行为执法整治行动，</w:t>
      </w:r>
      <w:r>
        <w:rPr>
          <w:rFonts w:hint="default" w:ascii="仿宋_GB2312" w:hAnsi="仿宋_GB2312" w:cs="仿宋_GB2312"/>
          <w:sz w:val="32"/>
          <w:szCs w:val="32"/>
        </w:rPr>
        <w:t>在</w:t>
      </w:r>
      <w:r>
        <w:rPr>
          <w:rFonts w:hint="eastAsia" w:ascii="仿宋_GB2312" w:hAnsi="仿宋_GB2312" w:eastAsia="仿宋_GB2312" w:cs="仿宋_GB2312"/>
          <w:sz w:val="32"/>
          <w:szCs w:val="32"/>
          <w:lang w:val="zh-CN"/>
        </w:rPr>
        <w:t>全市</w:t>
      </w:r>
      <w:r>
        <w:rPr>
          <w:rFonts w:hint="default" w:ascii="仿宋_GB2312" w:hAnsi="仿宋_GB2312" w:cs="仿宋_GB2312"/>
          <w:sz w:val="32"/>
          <w:szCs w:val="32"/>
        </w:rPr>
        <w:t>范围内</w:t>
      </w:r>
      <w:r>
        <w:rPr>
          <w:rFonts w:hint="eastAsia" w:ascii="仿宋_GB2312" w:hAnsi="仿宋_GB2312" w:eastAsia="仿宋_GB2312" w:cs="仿宋_GB2312"/>
          <w:sz w:val="32"/>
          <w:szCs w:val="32"/>
          <w:lang w:val="zh-CN"/>
        </w:rPr>
        <w:t>组织</w:t>
      </w:r>
      <w:r>
        <w:rPr>
          <w:rFonts w:hint="default" w:ascii="仿宋_GB2312" w:hAnsi="仿宋_GB2312" w:cs="仿宋_GB2312"/>
          <w:sz w:val="32"/>
          <w:szCs w:val="32"/>
        </w:rPr>
        <w:t>开展</w:t>
      </w:r>
      <w:r>
        <w:rPr>
          <w:rFonts w:hint="eastAsia" w:ascii="仿宋_GB2312" w:hAnsi="仿宋_GB2312" w:eastAsia="仿宋_GB2312" w:cs="仿宋_GB2312"/>
          <w:sz w:val="32"/>
          <w:szCs w:val="32"/>
          <w:lang w:val="zh-CN"/>
        </w:rPr>
        <w:t>“全面准确宣贯新</w:t>
      </w:r>
      <w:r>
        <w:rPr>
          <w:rFonts w:hint="eastAsia" w:ascii="仿宋_GB2312" w:hAnsi="仿宋_GB2312" w:eastAsia="仿宋_GB2312" w:cs="仿宋_GB2312"/>
          <w:sz w:val="32"/>
          <w:szCs w:val="32"/>
          <w:highlight w:val="none"/>
          <w:lang w:val="zh-CN"/>
        </w:rPr>
        <w:t>《</w:t>
      </w:r>
      <w:r>
        <w:rPr>
          <w:rFonts w:hint="default" w:ascii="仿宋_GB2312" w:hAnsi="仿宋_GB2312" w:cs="仿宋_GB2312"/>
          <w:sz w:val="32"/>
          <w:szCs w:val="32"/>
          <w:highlight w:val="none"/>
        </w:rPr>
        <w:t>市容</w:t>
      </w:r>
      <w:r>
        <w:rPr>
          <w:rFonts w:hint="eastAsia" w:ascii="仿宋_GB2312" w:hAnsi="仿宋_GB2312" w:eastAsia="仿宋_GB2312" w:cs="仿宋_GB2312"/>
          <w:sz w:val="32"/>
          <w:szCs w:val="32"/>
          <w:highlight w:val="none"/>
          <w:lang w:val="zh-CN"/>
        </w:rPr>
        <w:t>条例》</w:t>
      </w:r>
      <w:r>
        <w:rPr>
          <w:rFonts w:hint="eastAsia" w:ascii="仿宋_GB2312" w:hAnsi="仿宋_GB2312" w:eastAsia="仿宋_GB2312" w:cs="仿宋_GB2312"/>
          <w:sz w:val="32"/>
          <w:szCs w:val="32"/>
          <w:lang w:val="zh-CN"/>
        </w:rPr>
        <w:t>、提升市容市貌、提升执法水平”专项行动和市容环境整治“百日行动”。聚焦市民群众反映强烈的市容环境痛点难点问题，持续推进“六乱一超”整治工作，重点规范地摊经济有序发展。今年以来，共清理整治市容秩序问题70万余宗次，立案查处1500余宗。同时</w:t>
      </w:r>
      <w:r>
        <w:rPr>
          <w:rFonts w:hint="default" w:ascii="仿宋_GB2312" w:hAnsi="仿宋_GB2312" w:cs="仿宋_GB2312"/>
          <w:sz w:val="32"/>
          <w:szCs w:val="32"/>
        </w:rPr>
        <w:t>持续开展</w:t>
      </w:r>
      <w:r>
        <w:rPr>
          <w:rFonts w:hint="eastAsia" w:ascii="仿宋_GB2312" w:hAnsi="仿宋_GB2312" w:eastAsia="仿宋_GB2312" w:cs="仿宋_GB2312"/>
          <w:sz w:val="32"/>
          <w:szCs w:val="32"/>
          <w:lang w:val="zh-CN"/>
        </w:rPr>
        <w:t>对生产、销售不合格产品违法行为的执法</w:t>
      </w:r>
      <w:r>
        <w:rPr>
          <w:rFonts w:hint="default" w:ascii="仿宋_GB2312" w:hAnsi="仿宋_GB2312" w:cs="仿宋_GB2312"/>
          <w:sz w:val="32"/>
          <w:szCs w:val="32"/>
        </w:rPr>
        <w:t>检查</w:t>
      </w:r>
      <w:r>
        <w:rPr>
          <w:rFonts w:hint="eastAsia" w:ascii="仿宋_GB2312" w:hAnsi="仿宋_GB2312" w:eastAsia="仿宋_GB2312" w:cs="仿宋_GB2312"/>
          <w:sz w:val="32"/>
          <w:szCs w:val="32"/>
          <w:lang w:val="zh-CN"/>
        </w:rPr>
        <w:t>，严惩违法违规行为，积极督促商家严格落实销售者的质量安全主体责任。</w:t>
      </w:r>
      <w:r>
        <w:rPr>
          <w:rFonts w:hint="eastAsia" w:ascii="仿宋_GB2312" w:hAnsi="仿宋_GB2312" w:eastAsia="仿宋_GB2312" w:cs="仿宋_GB2312"/>
          <w:b/>
          <w:bCs w:val="0"/>
          <w:color w:val="000000"/>
          <w:sz w:val="32"/>
          <w:szCs w:val="32"/>
        </w:rPr>
        <w:t>二是</w:t>
      </w:r>
      <w:r>
        <w:rPr>
          <w:rFonts w:hint="default" w:ascii="仿宋_GB2312" w:hAnsi="仿宋_GB2312" w:cs="仿宋_GB2312"/>
          <w:bCs/>
          <w:color w:val="000000"/>
          <w:sz w:val="32"/>
          <w:szCs w:val="32"/>
        </w:rPr>
        <w:t>引导</w:t>
      </w:r>
      <w:r>
        <w:rPr>
          <w:rFonts w:hint="eastAsia" w:ascii="仿宋_GB2312" w:hAnsi="仿宋_GB2312" w:eastAsia="仿宋_GB2312" w:cs="仿宋_GB2312"/>
          <w:bCs/>
          <w:color w:val="000000"/>
          <w:sz w:val="32"/>
          <w:szCs w:val="32"/>
        </w:rPr>
        <w:t>成立商场、门店外摆及摊贩经营行为领导小组，对各</w:t>
      </w:r>
      <w:r>
        <w:rPr>
          <w:rFonts w:hint="default" w:ascii="仿宋_GB2312" w:hAnsi="仿宋_GB2312" w:cs="仿宋_GB2312"/>
          <w:bCs/>
          <w:color w:val="000000"/>
          <w:sz w:val="32"/>
          <w:szCs w:val="32"/>
        </w:rPr>
        <w:t>经营场所</w:t>
      </w:r>
      <w:r>
        <w:rPr>
          <w:rFonts w:hint="eastAsia" w:ascii="仿宋_GB2312" w:hAnsi="仿宋_GB2312" w:eastAsia="仿宋_GB2312" w:cs="仿宋_GB2312"/>
          <w:bCs/>
          <w:color w:val="000000"/>
          <w:sz w:val="32"/>
          <w:szCs w:val="32"/>
        </w:rPr>
        <w:t>管理主体进行指导</w:t>
      </w:r>
      <w:r>
        <w:rPr>
          <w:rFonts w:hint="default" w:ascii="仿宋_GB2312" w:hAnsi="仿宋_GB2312" w:cs="仿宋_GB2312"/>
          <w:bCs/>
          <w:color w:val="000000"/>
          <w:sz w:val="32"/>
          <w:szCs w:val="32"/>
        </w:rPr>
        <w:t>和</w:t>
      </w:r>
      <w:r>
        <w:rPr>
          <w:rFonts w:hint="eastAsia" w:ascii="仿宋_GB2312" w:hAnsi="仿宋_GB2312" w:eastAsia="仿宋_GB2312" w:cs="仿宋_GB2312"/>
          <w:bCs/>
          <w:color w:val="000000"/>
          <w:sz w:val="32"/>
          <w:szCs w:val="32"/>
        </w:rPr>
        <w:t>监管</w:t>
      </w:r>
      <w:r>
        <w:rPr>
          <w:rFonts w:hint="default" w:ascii="仿宋_GB2312" w:hAnsi="仿宋_GB2312" w:cs="仿宋_GB2312"/>
          <w:bCs/>
          <w:color w:val="000000"/>
          <w:sz w:val="32"/>
          <w:szCs w:val="32"/>
        </w:rPr>
        <w:t>。通过领导小组</w:t>
      </w:r>
      <w:r>
        <w:rPr>
          <w:rFonts w:hint="eastAsia" w:ascii="仿宋_GB2312" w:hAnsi="仿宋_GB2312" w:eastAsia="仿宋_GB2312" w:cs="仿宋_GB2312"/>
          <w:bCs/>
          <w:color w:val="000000"/>
          <w:sz w:val="32"/>
          <w:szCs w:val="32"/>
        </w:rPr>
        <w:t>联席会议</w:t>
      </w:r>
      <w:r>
        <w:rPr>
          <w:rFonts w:hint="default" w:ascii="仿宋_GB2312" w:hAnsi="仿宋_GB2312" w:cs="仿宋_GB2312"/>
          <w:bCs/>
          <w:color w:val="000000"/>
          <w:sz w:val="32"/>
          <w:szCs w:val="32"/>
        </w:rPr>
        <w:t>，</w:t>
      </w:r>
      <w:r>
        <w:rPr>
          <w:rFonts w:hint="eastAsia" w:ascii="仿宋_GB2312" w:hAnsi="仿宋_GB2312" w:eastAsia="仿宋_GB2312" w:cs="仿宋_GB2312"/>
          <w:bCs/>
          <w:color w:val="000000"/>
          <w:sz w:val="32"/>
          <w:szCs w:val="32"/>
        </w:rPr>
        <w:t>对商场、门店外摆及摊贩经营</w:t>
      </w:r>
      <w:r>
        <w:rPr>
          <w:rFonts w:hint="default" w:ascii="仿宋_GB2312" w:hAnsi="仿宋_GB2312" w:cs="仿宋_GB2312"/>
          <w:bCs/>
          <w:color w:val="000000"/>
          <w:sz w:val="32"/>
          <w:szCs w:val="32"/>
        </w:rPr>
        <w:t>相关工作</w:t>
      </w:r>
      <w:r>
        <w:rPr>
          <w:rFonts w:hint="eastAsia" w:ascii="仿宋_GB2312" w:hAnsi="仿宋_GB2312" w:eastAsia="仿宋_GB2312" w:cs="仿宋_GB2312"/>
          <w:bCs/>
          <w:color w:val="000000"/>
          <w:sz w:val="32"/>
          <w:szCs w:val="32"/>
        </w:rPr>
        <w:t>方案</w:t>
      </w:r>
      <w:r>
        <w:rPr>
          <w:rFonts w:hint="default" w:ascii="仿宋_GB2312" w:hAnsi="仿宋_GB2312" w:cs="仿宋_GB2312"/>
          <w:bCs/>
          <w:color w:val="000000"/>
          <w:sz w:val="32"/>
          <w:szCs w:val="32"/>
        </w:rPr>
        <w:t>的</w:t>
      </w:r>
      <w:r>
        <w:rPr>
          <w:rFonts w:hint="eastAsia" w:ascii="仿宋_GB2312" w:hAnsi="仿宋_GB2312" w:eastAsia="仿宋_GB2312" w:cs="仿宋_GB2312"/>
          <w:bCs/>
          <w:color w:val="000000"/>
          <w:sz w:val="32"/>
          <w:szCs w:val="32"/>
        </w:rPr>
        <w:t>执行情况进行通报</w:t>
      </w:r>
      <w:r>
        <w:rPr>
          <w:rFonts w:hint="default" w:ascii="仿宋_GB2312" w:hAnsi="仿宋_GB2312" w:cs="仿宋_GB2312"/>
          <w:bCs/>
          <w:color w:val="000000"/>
          <w:sz w:val="32"/>
          <w:szCs w:val="32"/>
        </w:rPr>
        <w:t>、</w:t>
      </w:r>
      <w:r>
        <w:rPr>
          <w:rFonts w:hint="eastAsia" w:ascii="仿宋_GB2312" w:hAnsi="仿宋_GB2312" w:eastAsia="仿宋_GB2312" w:cs="仿宋_GB2312"/>
          <w:bCs/>
          <w:color w:val="000000"/>
          <w:sz w:val="32"/>
          <w:szCs w:val="32"/>
        </w:rPr>
        <w:t>评估，对于不按既定方案执行、管理不到位、群众投诉集中的管理主体，取消其管理资格</w:t>
      </w:r>
      <w:r>
        <w:rPr>
          <w:rFonts w:hint="eastAsia" w:ascii="仿宋_GB2312" w:hAnsi="仿宋_GB2312" w:eastAsia="仿宋_GB2312" w:cs="仿宋_GB2312"/>
          <w:bCs/>
          <w:color w:val="000000"/>
          <w:sz w:val="32"/>
          <w:szCs w:val="32"/>
          <w:lang w:eastAsia="zh-CN"/>
        </w:rPr>
        <w:t>。</w:t>
      </w:r>
      <w:r>
        <w:rPr>
          <w:rFonts w:hint="default" w:ascii="仿宋_GB2312" w:hAnsi="仿宋_GB2312" w:cs="仿宋_GB2312"/>
          <w:b/>
          <w:bCs/>
          <w:sz w:val="32"/>
          <w:szCs w:val="32"/>
        </w:rPr>
        <w:t>三是</w:t>
      </w:r>
      <w:r>
        <w:rPr>
          <w:rFonts w:hint="default" w:ascii="仿宋_GB2312" w:hAnsi="仿宋_GB2312" w:cs="仿宋_GB2312"/>
          <w:sz w:val="32"/>
          <w:szCs w:val="32"/>
        </w:rPr>
        <w:t>开展普法宣传活动，持续组织开展法律法规进公园、进社区、进商圈、进企业、进网络系列普法宣传，宣贯《市容条例》和相关政策规范，围绕城市发展可持续性和宜居性，把生态文明理念和原则融入宣传工作的全过程，营造良好的守法氛围。</w:t>
      </w:r>
    </w:p>
    <w:p>
      <w:pPr>
        <w:pStyle w:val="2"/>
        <w:numPr>
          <w:ilvl w:val="0"/>
          <w:numId w:val="0"/>
        </w:numPr>
        <w:ind w:firstLine="646" w:firstLineChars="200"/>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三、针对提案“促进地摊经济的升级和转型”建议</w:t>
      </w:r>
    </w:p>
    <w:p>
      <w:pPr>
        <w:tabs>
          <w:tab w:val="left" w:pos="1843"/>
        </w:tabs>
        <w:spacing w:line="560" w:lineRule="exact"/>
        <w:ind w:firstLine="645"/>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zh-CN"/>
        </w:rPr>
        <w:t>按照《市容条例》的相关</w:t>
      </w:r>
      <w:r>
        <w:rPr>
          <w:rFonts w:hint="default" w:ascii="仿宋_GB2312" w:hAnsi="仿宋_GB2312" w:eastAsia="仿宋_GB2312" w:cs="仿宋_GB2312"/>
          <w:sz w:val="32"/>
          <w:szCs w:val="32"/>
        </w:rPr>
        <w:t>要求</w:t>
      </w:r>
      <w:r>
        <w:rPr>
          <w:rFonts w:hint="eastAsia" w:ascii="仿宋_GB2312" w:hAnsi="仿宋_GB2312" w:eastAsia="仿宋_GB2312" w:cs="仿宋_GB2312"/>
          <w:sz w:val="32"/>
          <w:szCs w:val="32"/>
          <w:lang w:val="zh-CN"/>
        </w:rPr>
        <w:t>，支持经营主体</w:t>
      </w:r>
      <w:r>
        <w:rPr>
          <w:rFonts w:hint="default" w:ascii="仿宋_GB2312" w:hAnsi="仿宋_GB2312" w:eastAsia="仿宋_GB2312" w:cs="仿宋_GB2312"/>
          <w:sz w:val="32"/>
          <w:szCs w:val="32"/>
        </w:rPr>
        <w:t>在</w:t>
      </w:r>
      <w:r>
        <w:rPr>
          <w:rFonts w:hint="eastAsia" w:ascii="仿宋_GB2312" w:hAnsi="仿宋_GB2312" w:eastAsia="仿宋_GB2312" w:cs="仿宋_GB2312"/>
          <w:sz w:val="32"/>
          <w:szCs w:val="32"/>
          <w:lang w:val="zh-CN"/>
        </w:rPr>
        <w:t>建筑用地红线范围内开展商业外摆，促进外摆消费。</w:t>
      </w:r>
      <w:r>
        <w:rPr>
          <w:rFonts w:hint="eastAsia" w:ascii="仿宋_GB2312" w:hAnsi="仿宋_GB2312" w:eastAsia="仿宋_GB2312" w:cs="仿宋_GB2312"/>
          <w:bCs/>
          <w:color w:val="000000"/>
          <w:sz w:val="32"/>
          <w:szCs w:val="32"/>
          <w:lang w:val="en-US" w:eastAsia="zh-CN"/>
        </w:rPr>
        <w:t>南山区</w:t>
      </w:r>
      <w:r>
        <w:rPr>
          <w:rFonts w:hint="eastAsia" w:ascii="仿宋_GB2312" w:hAnsi="仿宋_GB2312" w:eastAsia="仿宋_GB2312" w:cs="仿宋_GB2312"/>
          <w:bCs/>
          <w:color w:val="000000"/>
          <w:sz w:val="32"/>
          <w:szCs w:val="32"/>
        </w:rPr>
        <w:t>在深圳湾万象城、</w:t>
      </w:r>
      <w:r>
        <w:rPr>
          <w:rFonts w:hint="default" w:ascii="仿宋_GB2312" w:hAnsi="仿宋_GB2312" w:eastAsia="仿宋_GB2312" w:cs="仿宋_GB2312"/>
          <w:bCs/>
          <w:color w:val="000000"/>
          <w:sz w:val="32"/>
          <w:szCs w:val="32"/>
        </w:rPr>
        <w:t>深圳</w:t>
      </w:r>
      <w:r>
        <w:rPr>
          <w:rFonts w:hint="eastAsia" w:ascii="仿宋_GB2312" w:hAnsi="仿宋_GB2312" w:eastAsia="仿宋_GB2312" w:cs="仿宋_GB2312"/>
          <w:bCs/>
          <w:color w:val="000000"/>
          <w:sz w:val="32"/>
          <w:szCs w:val="32"/>
        </w:rPr>
        <w:t>海岸城</w:t>
      </w:r>
      <w:r>
        <w:rPr>
          <w:rFonts w:hint="default" w:ascii="仿宋_GB2312" w:hAnsi="仿宋_GB2312" w:eastAsia="仿宋_GB2312" w:cs="仿宋_GB2312"/>
          <w:bCs/>
          <w:color w:val="000000"/>
          <w:sz w:val="32"/>
          <w:szCs w:val="32"/>
        </w:rPr>
        <w:t>、</w:t>
      </w:r>
      <w:r>
        <w:rPr>
          <w:rFonts w:hint="eastAsia" w:ascii="仿宋_GB2312" w:hAnsi="仿宋_GB2312" w:eastAsia="仿宋_GB2312" w:cs="仿宋_GB2312"/>
          <w:bCs/>
          <w:color w:val="000000"/>
          <w:sz w:val="32"/>
          <w:szCs w:val="32"/>
        </w:rPr>
        <w:t>海上世界等设置集市，融和</w:t>
      </w:r>
      <w:r>
        <w:rPr>
          <w:rFonts w:hint="default" w:ascii="仿宋_GB2312" w:hAnsi="仿宋_GB2312" w:eastAsia="仿宋_GB2312" w:cs="仿宋_GB2312"/>
          <w:bCs/>
          <w:color w:val="000000"/>
          <w:sz w:val="32"/>
          <w:szCs w:val="32"/>
        </w:rPr>
        <w:t>夜经济特色</w:t>
      </w:r>
      <w:r>
        <w:rPr>
          <w:rFonts w:hint="eastAsia" w:ascii="仿宋_GB2312" w:hAnsi="仿宋_GB2312" w:eastAsia="仿宋_GB2312" w:cs="仿宋_GB2312"/>
          <w:bCs/>
          <w:color w:val="000000"/>
          <w:sz w:val="32"/>
          <w:szCs w:val="32"/>
        </w:rPr>
        <w:t>，突出品牌化、主题化，同时策划演艺秀、灯光秀等活动，在提升城市</w:t>
      </w:r>
      <w:r>
        <w:rPr>
          <w:rFonts w:hint="default" w:ascii="仿宋_GB2312" w:hAnsi="仿宋_GB2312" w:eastAsia="仿宋_GB2312" w:cs="仿宋_GB2312"/>
          <w:bCs/>
          <w:color w:val="000000"/>
          <w:sz w:val="32"/>
          <w:szCs w:val="32"/>
        </w:rPr>
        <w:t>夜经济</w:t>
      </w:r>
      <w:r>
        <w:rPr>
          <w:rFonts w:hint="eastAsia" w:ascii="仿宋_GB2312" w:hAnsi="仿宋_GB2312" w:eastAsia="仿宋_GB2312" w:cs="仿宋_GB2312"/>
          <w:bCs/>
          <w:color w:val="000000"/>
          <w:sz w:val="32"/>
          <w:szCs w:val="32"/>
        </w:rPr>
        <w:t>活力、营造休闲消费氛围等方面发挥了积极作用，形成浓厚的地摊消费氛围</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
          <w:bCs w:val="0"/>
          <w:color w:val="000000"/>
          <w:sz w:val="32"/>
          <w:szCs w:val="32"/>
          <w:lang w:val="en-US" w:eastAsia="zh-CN"/>
        </w:rPr>
        <w:t>二是</w:t>
      </w:r>
      <w:r>
        <w:rPr>
          <w:rFonts w:hint="default" w:ascii="仿宋_GB2312" w:hAnsi="仿宋_GB2312" w:eastAsia="仿宋_GB2312" w:cs="仿宋_GB2312"/>
          <w:bCs/>
          <w:color w:val="000000"/>
          <w:sz w:val="32"/>
          <w:szCs w:val="32"/>
        </w:rPr>
        <w:t>加强“地摊经济”指导培训服务。指导市集商家</w:t>
      </w:r>
      <w:r>
        <w:rPr>
          <w:rFonts w:hint="eastAsia" w:ascii="仿宋_GB2312" w:hAnsi="仿宋_GB2312" w:eastAsia="仿宋_GB2312" w:cs="仿宋_GB2312"/>
          <w:bCs/>
          <w:color w:val="000000"/>
          <w:sz w:val="32"/>
          <w:szCs w:val="32"/>
        </w:rPr>
        <w:t>利用</w:t>
      </w:r>
      <w:r>
        <w:rPr>
          <w:rFonts w:hint="default" w:ascii="仿宋_GB2312" w:hAnsi="仿宋_GB2312" w:eastAsia="仿宋_GB2312" w:cs="仿宋_GB2312"/>
          <w:bCs/>
          <w:color w:val="000000"/>
          <w:sz w:val="32"/>
          <w:szCs w:val="32"/>
        </w:rPr>
        <w:t>直播</w:t>
      </w:r>
      <w:r>
        <w:rPr>
          <w:rFonts w:hint="eastAsia" w:ascii="仿宋_GB2312" w:hAnsi="仿宋_GB2312" w:eastAsia="仿宋_GB2312" w:cs="仿宋_GB2312"/>
          <w:bCs/>
          <w:color w:val="000000"/>
          <w:sz w:val="32"/>
          <w:szCs w:val="32"/>
        </w:rPr>
        <w:t>拓展销售渠道，提升商品的覆盖范围和销售额，推动地摊经济向线上线下相结合的模式转变。龙华区大浪商业街区设有户外直播间，现场直播发放消费券。</w:t>
      </w:r>
      <w:r>
        <w:rPr>
          <w:rFonts w:hint="default" w:ascii="仿宋_GB2312" w:hAnsi="仿宋_GB2312" w:eastAsia="仿宋_GB2312" w:cs="仿宋_GB2312"/>
          <w:bCs/>
          <w:color w:val="000000"/>
          <w:sz w:val="32"/>
          <w:szCs w:val="32"/>
        </w:rPr>
        <w:t>福田区主动对接商家，支持商家设置高品质、多样化、创新型消费场景，在经营业态和活动形式上与周边商业形成互动。</w:t>
      </w:r>
      <w:r>
        <w:rPr>
          <w:rFonts w:hint="eastAsia" w:ascii="仿宋_GB2312" w:hAnsi="仿宋_GB2312" w:eastAsia="仿宋_GB2312" w:cs="仿宋_GB2312"/>
          <w:b/>
          <w:bCs w:val="0"/>
          <w:color w:val="000000"/>
          <w:sz w:val="32"/>
          <w:szCs w:val="32"/>
          <w:lang w:val="en-US" w:eastAsia="zh-CN"/>
        </w:rPr>
        <w:t>三是</w:t>
      </w:r>
      <w:r>
        <w:rPr>
          <w:rFonts w:hint="eastAsia" w:ascii="仿宋_GB2312" w:hAnsi="仿宋_GB2312" w:eastAsia="仿宋_GB2312" w:cs="仿宋_GB2312"/>
          <w:bCs/>
          <w:color w:val="000000"/>
          <w:sz w:val="32"/>
          <w:szCs w:val="32"/>
        </w:rPr>
        <w:t>开展地摊经济特色主题活动。通过鼓励商家设置潮流打卡点、在“城市中心、商业街区规划布置“突出年轻科技时尚</w:t>
      </w:r>
      <w:r>
        <w:rPr>
          <w:rFonts w:hint="default" w:ascii="仿宋_GB2312" w:hAnsi="仿宋_GB2312" w:eastAsia="仿宋_GB2312" w:cs="仿宋_GB2312"/>
          <w:bCs/>
          <w:color w:val="000000"/>
          <w:sz w:val="32"/>
          <w:szCs w:val="32"/>
        </w:rPr>
        <w:t>”</w:t>
      </w:r>
      <w:r>
        <w:rPr>
          <w:rFonts w:hint="eastAsia" w:ascii="仿宋_GB2312" w:hAnsi="仿宋_GB2312" w:eastAsia="仿宋_GB2312" w:cs="仿宋_GB2312"/>
          <w:bCs/>
          <w:color w:val="000000"/>
          <w:sz w:val="32"/>
          <w:szCs w:val="32"/>
        </w:rPr>
        <w:t>主题区域等线下活动，鼓励</w:t>
      </w:r>
      <w:r>
        <w:rPr>
          <w:rFonts w:hint="default" w:ascii="仿宋_GB2312" w:hAnsi="仿宋_GB2312" w:eastAsia="仿宋_GB2312" w:cs="仿宋_GB2312"/>
          <w:bCs/>
          <w:color w:val="000000"/>
          <w:sz w:val="32"/>
          <w:szCs w:val="32"/>
        </w:rPr>
        <w:t>经营场所管理主体</w:t>
      </w:r>
      <w:r>
        <w:rPr>
          <w:rFonts w:hint="eastAsia" w:ascii="仿宋_GB2312" w:hAnsi="仿宋_GB2312" w:eastAsia="仿宋_GB2312" w:cs="仿宋_GB2312"/>
          <w:bCs/>
          <w:color w:val="000000"/>
          <w:sz w:val="32"/>
          <w:szCs w:val="32"/>
        </w:rPr>
        <w:t>创新经营模式，不断推出特色商品和服务</w:t>
      </w:r>
      <w:r>
        <w:rPr>
          <w:rFonts w:hint="default" w:ascii="仿宋_GB2312" w:hAnsi="仿宋_GB2312" w:eastAsia="仿宋_GB2312" w:cs="仿宋_GB2312"/>
          <w:bCs/>
          <w:color w:val="000000"/>
          <w:sz w:val="32"/>
          <w:szCs w:val="32"/>
        </w:rPr>
        <w:t>，</w:t>
      </w:r>
      <w:r>
        <w:rPr>
          <w:rFonts w:hint="eastAsia" w:ascii="仿宋_GB2312" w:hAnsi="仿宋_GB2312" w:eastAsia="仿宋_GB2312" w:cs="仿宋_GB2312"/>
          <w:bCs/>
          <w:color w:val="000000"/>
          <w:sz w:val="32"/>
          <w:szCs w:val="32"/>
        </w:rPr>
        <w:t>挖掘消费潜力。如</w:t>
      </w:r>
      <w:r>
        <w:rPr>
          <w:rFonts w:hint="eastAsia" w:ascii="仿宋_GB2312" w:hAnsi="仿宋_GB2312" w:eastAsia="仿宋_GB2312" w:cs="仿宋_GB2312"/>
          <w:bCs/>
          <w:color w:val="000000"/>
          <w:sz w:val="32"/>
          <w:szCs w:val="32"/>
          <w:lang w:val="en-US" w:eastAsia="zh-CN"/>
        </w:rPr>
        <w:t>福田</w:t>
      </w:r>
      <w:r>
        <w:rPr>
          <w:rFonts w:hint="default" w:ascii="仿宋_GB2312" w:hAnsi="仿宋_GB2312" w:eastAsia="仿宋_GB2312" w:cs="仿宋_GB2312"/>
          <w:bCs/>
          <w:color w:val="000000"/>
          <w:sz w:val="32"/>
          <w:szCs w:val="32"/>
          <w:lang w:eastAsia="zh-CN"/>
        </w:rPr>
        <w:t>区推出</w:t>
      </w:r>
      <w:r>
        <w:rPr>
          <w:rFonts w:hint="eastAsia" w:ascii="仿宋_GB2312" w:hAnsi="仿宋_GB2312" w:eastAsia="仿宋_GB2312" w:cs="仿宋_GB2312"/>
          <w:bCs/>
          <w:color w:val="000000"/>
          <w:sz w:val="32"/>
          <w:szCs w:val="32"/>
        </w:rPr>
        <w:t>节日大道“迎春花市”、深业上城光影艺术展、深圳设计周、天空画布艺术节、“棉花娃娃全国巡回之旅”等</w:t>
      </w:r>
      <w:r>
        <w:rPr>
          <w:rFonts w:hint="default" w:ascii="仿宋_GB2312" w:hAnsi="仿宋_GB2312" w:eastAsia="仿宋_GB2312" w:cs="仿宋_GB2312"/>
          <w:bCs/>
          <w:color w:val="000000"/>
          <w:sz w:val="32"/>
          <w:szCs w:val="32"/>
        </w:rPr>
        <w:t>主题活动</w:t>
      </w:r>
      <w:r>
        <w:rPr>
          <w:rFonts w:hint="eastAsia" w:ascii="仿宋_GB2312" w:hAnsi="仿宋_GB2312" w:eastAsia="仿宋_GB2312" w:cs="仿宋_GB2312"/>
          <w:bCs/>
          <w:color w:val="000000"/>
          <w:sz w:val="32"/>
          <w:szCs w:val="32"/>
        </w:rPr>
        <w:t>，吸引了大量的市民前往，形成浓厚的地摊消费氛围，不断促进地摊经济的转型和升级。</w:t>
      </w:r>
    </w:p>
    <w:p>
      <w:pPr>
        <w:tabs>
          <w:tab w:val="left" w:pos="1843"/>
        </w:tabs>
        <w:spacing w:line="560" w:lineRule="exact"/>
        <w:ind w:firstLine="645"/>
        <w:rPr>
          <w:rFonts w:ascii="仿宋_GB2312" w:eastAsia="仿宋_GB2312"/>
          <w:sz w:val="32"/>
          <w:szCs w:val="32"/>
        </w:rPr>
      </w:pPr>
      <w:r>
        <w:rPr>
          <w:rFonts w:ascii="仿宋_GB2312" w:eastAsia="仿宋_GB2312"/>
          <w:sz w:val="32"/>
          <w:szCs w:val="32"/>
        </w:rPr>
        <w:t>专此答复，感谢您对我市</w:t>
      </w:r>
      <w:r>
        <w:rPr>
          <w:rFonts w:hint="eastAsia" w:ascii="仿宋_GB2312" w:eastAsia="仿宋_GB2312"/>
          <w:sz w:val="32"/>
          <w:szCs w:val="32"/>
          <w:lang w:val="en-US" w:eastAsia="zh-CN"/>
        </w:rPr>
        <w:t>地摊经济</w:t>
      </w:r>
      <w:r>
        <w:rPr>
          <w:rFonts w:ascii="仿宋_GB2312" w:eastAsia="仿宋_GB2312"/>
          <w:sz w:val="32"/>
          <w:szCs w:val="32"/>
        </w:rPr>
        <w:t>工作的关注与支持！</w:t>
      </w:r>
    </w:p>
    <w:p>
      <w:pPr>
        <w:tabs>
          <w:tab w:val="left" w:pos="1843"/>
        </w:tabs>
        <w:spacing w:line="560" w:lineRule="exact"/>
        <w:ind w:firstLine="645"/>
        <w:rPr>
          <w:rFonts w:ascii="仿宋_GB2312" w:eastAsia="仿宋_GB2312"/>
          <w:sz w:val="32"/>
          <w:szCs w:val="32"/>
        </w:rPr>
      </w:pPr>
    </w:p>
    <w:p>
      <w:pPr>
        <w:tabs>
          <w:tab w:val="left" w:pos="1843"/>
        </w:tabs>
        <w:spacing w:line="560" w:lineRule="exact"/>
        <w:ind w:firstLine="645"/>
        <w:rPr>
          <w:rFonts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852" w:rightChars="400" w:firstLine="645"/>
        <w:jc w:val="center"/>
        <w:textAlignment w:val="auto"/>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深圳市商务局  </w:t>
      </w:r>
    </w:p>
    <w:p>
      <w:pPr>
        <w:keepNext w:val="0"/>
        <w:keepLines w:val="0"/>
        <w:pageBreakBefore w:val="0"/>
        <w:widowControl w:val="0"/>
        <w:kinsoku/>
        <w:wordWrap/>
        <w:overflowPunct/>
        <w:topLinePunct w:val="0"/>
        <w:autoSpaceDE/>
        <w:autoSpaceDN/>
        <w:bidi w:val="0"/>
        <w:adjustRightInd/>
        <w:snapToGrid/>
        <w:spacing w:line="560" w:lineRule="exact"/>
        <w:ind w:right="852" w:rightChars="400"/>
        <w:jc w:val="center"/>
        <w:textAlignment w:val="auto"/>
        <w:rPr>
          <w:rFonts w:ascii="仿宋_GB2312" w:eastAsia="仿宋_GB2312"/>
          <w:sz w:val="32"/>
          <w:szCs w:val="32"/>
        </w:rPr>
      </w:pPr>
      <w:r>
        <w:rPr>
          <w:rFonts w:hint="default" w:ascii="仿宋_GB2312" w:eastAsia="仿宋_GB2312"/>
          <w:sz w:val="32"/>
          <w:szCs w:val="32"/>
        </w:rPr>
        <w:t xml:space="preserve">                         </w:t>
      </w:r>
      <w:r>
        <w:rPr>
          <w:rFonts w:hint="eastAsia" w:ascii="仿宋_GB2312" w:eastAsia="仿宋_GB2312"/>
          <w:sz w:val="32"/>
          <w:szCs w:val="32"/>
        </w:rPr>
        <w:t>20</w:t>
      </w:r>
      <w:r>
        <w:rPr>
          <w:rFonts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default" w:ascii="仿宋_GB2312" w:eastAsia="仿宋_GB2312"/>
          <w:sz w:val="32"/>
          <w:szCs w:val="32"/>
          <w:lang w:eastAsia="zh-CN"/>
        </w:rPr>
        <w:t>8</w:t>
      </w:r>
      <w:r>
        <w:rPr>
          <w:rFonts w:hint="eastAsia" w:ascii="仿宋_GB2312" w:eastAsia="仿宋_GB2312"/>
          <w:sz w:val="32"/>
          <w:szCs w:val="32"/>
        </w:rPr>
        <w:t>月</w:t>
      </w:r>
      <w:r>
        <w:rPr>
          <w:rFonts w:hint="default" w:ascii="仿宋_GB2312" w:eastAsia="仿宋_GB2312"/>
          <w:sz w:val="32"/>
          <w:szCs w:val="32"/>
        </w:rPr>
        <w:t>2</w:t>
      </w:r>
      <w:r>
        <w:rPr>
          <w:rFonts w:hint="eastAsia" w:ascii="仿宋_GB2312" w:eastAsia="仿宋_GB2312"/>
          <w:sz w:val="32"/>
          <w:szCs w:val="32"/>
        </w:rPr>
        <w:t>日</w:t>
      </w:r>
    </w:p>
    <w:p>
      <w:pPr>
        <w:tabs>
          <w:tab w:val="left" w:pos="1843"/>
        </w:tabs>
        <w:spacing w:line="560" w:lineRule="exact"/>
        <w:ind w:right="640" w:firstLine="645"/>
        <w:rPr>
          <w:rFonts w:hint="eastAsia" w:ascii="仿宋_GB2312" w:eastAsia="仿宋_GB2312"/>
          <w:sz w:val="32"/>
          <w:szCs w:val="32"/>
        </w:rPr>
      </w:pPr>
    </w:p>
    <w:p>
      <w:pPr>
        <w:tabs>
          <w:tab w:val="left" w:pos="1843"/>
        </w:tabs>
        <w:spacing w:line="560" w:lineRule="exact"/>
        <w:ind w:right="640" w:firstLine="645"/>
        <w:rPr>
          <w:rFonts w:ascii="仿宋_GB2312" w:eastAsia="仿宋_GB2312"/>
          <w:sz w:val="32"/>
          <w:szCs w:val="32"/>
        </w:rPr>
      </w:pPr>
      <w:bookmarkStart w:id="1" w:name="_GoBack"/>
      <w:bookmarkEnd w:id="1"/>
    </w:p>
    <w:p>
      <w:pPr>
        <w:tabs>
          <w:tab w:val="left" w:pos="1843"/>
        </w:tabs>
        <w:spacing w:line="560" w:lineRule="exact"/>
        <w:ind w:right="640"/>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tabs>
          <w:tab w:val="left" w:pos="1843"/>
        </w:tabs>
        <w:spacing w:line="560" w:lineRule="exact"/>
        <w:ind w:right="640" w:firstLine="0"/>
        <w:rPr>
          <w:rFonts w:ascii="仿宋_GB2312" w:eastAsia="仿宋_GB2312"/>
          <w:sz w:val="32"/>
          <w:szCs w:val="32"/>
        </w:rPr>
      </w:pPr>
      <w:r>
        <w:rPr>
          <w:rFonts w:hint="eastAsia" w:ascii="仿宋_GB2312" w:eastAsia="仿宋_GB2312"/>
          <w:sz w:val="32"/>
          <w:szCs w:val="32"/>
        </w:rPr>
        <w:t>公开类型：</w:t>
      </w:r>
      <w:r>
        <w:rPr>
          <w:rFonts w:hint="default" w:ascii="仿宋_GB2312" w:eastAsia="仿宋_GB2312"/>
          <w:sz w:val="32"/>
          <w:szCs w:val="32"/>
        </w:rPr>
        <w:t>主动</w:t>
      </w:r>
      <w:r>
        <w:rPr>
          <w:rFonts w:hint="eastAsia" w:ascii="仿宋_GB2312" w:eastAsia="仿宋_GB2312"/>
          <w:sz w:val="32"/>
          <w:szCs w:val="32"/>
        </w:rPr>
        <w:t>公开。</w:t>
      </w:r>
    </w:p>
    <w:p>
      <w:pPr>
        <w:tabs>
          <w:tab w:val="left" w:pos="1843"/>
        </w:tabs>
        <w:spacing w:line="560" w:lineRule="exact"/>
        <w:ind w:right="640"/>
      </w:pPr>
      <w:r>
        <w:rPr>
          <w:rFonts w:hint="eastAsia" w:ascii="仿宋_GB2312" w:eastAsia="仿宋_GB2312"/>
          <w:sz w:val="32"/>
          <w:szCs w:val="32"/>
        </w:rPr>
        <w:t>抄送：市政协提案委。</w:t>
      </w:r>
    </w:p>
    <w:sectPr>
      <w:footerReference r:id="rId3" w:type="default"/>
      <w:pgSz w:w="11906" w:h="16838"/>
      <w:pgMar w:top="1814" w:right="1474" w:bottom="1814" w:left="1474" w:header="851" w:footer="992" w:gutter="0"/>
      <w:pgNumType w:fmt="decimal"/>
      <w:cols w:space="0" w:num="1"/>
      <w:rtlGutter w:val="0"/>
      <w:docGrid w:type="linesAndChars" w:linePitch="312" w:charSpace="6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26F717"/>
    <w:multiLevelType w:val="singleLevel"/>
    <w:tmpl w:val="DD26F71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revisionView w:markup="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C25F7"/>
    <w:rsid w:val="0706541B"/>
    <w:rsid w:val="0A42619B"/>
    <w:rsid w:val="0B0971EF"/>
    <w:rsid w:val="0E965F34"/>
    <w:rsid w:val="16167DDD"/>
    <w:rsid w:val="1D455C2C"/>
    <w:rsid w:val="1EEC25F7"/>
    <w:rsid w:val="20F8032B"/>
    <w:rsid w:val="2F5CBF87"/>
    <w:rsid w:val="3C1F184B"/>
    <w:rsid w:val="4136240D"/>
    <w:rsid w:val="437C6038"/>
    <w:rsid w:val="48F54290"/>
    <w:rsid w:val="4A193364"/>
    <w:rsid w:val="4FB34E6C"/>
    <w:rsid w:val="505D56D0"/>
    <w:rsid w:val="562421FA"/>
    <w:rsid w:val="56B78E30"/>
    <w:rsid w:val="578B7930"/>
    <w:rsid w:val="57B05A9A"/>
    <w:rsid w:val="5E0B7894"/>
    <w:rsid w:val="5F97578F"/>
    <w:rsid w:val="66A1719F"/>
    <w:rsid w:val="67D760F1"/>
    <w:rsid w:val="685E488D"/>
    <w:rsid w:val="70FF3F99"/>
    <w:rsid w:val="73EA6E7B"/>
    <w:rsid w:val="75FF19AF"/>
    <w:rsid w:val="7859716D"/>
    <w:rsid w:val="791C002F"/>
    <w:rsid w:val="79FF6991"/>
    <w:rsid w:val="7F0E1649"/>
    <w:rsid w:val="7F7C9336"/>
    <w:rsid w:val="BF777F0E"/>
    <w:rsid w:val="D57F9DBA"/>
    <w:rsid w:val="D9DFB653"/>
    <w:rsid w:val="E2FB3FBE"/>
    <w:rsid w:val="FBB118E2"/>
    <w:rsid w:val="FBCE75D7"/>
    <w:rsid w:val="FFF99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0" w:firstLineChars="0"/>
      <w:outlineLvl w:val="0"/>
    </w:pPr>
    <w:rPr>
      <w:rFonts w:eastAsia="方正小标宋简体"/>
      <w:kern w:val="44"/>
      <w:sz w:val="44"/>
    </w:rPr>
  </w:style>
  <w:style w:type="paragraph" w:styleId="4">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黑体"/>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560" w:lineRule="exact"/>
      <w:ind w:firstLine="420" w:firstLineChars="200"/>
    </w:pPr>
    <w:rPr>
      <w:rFonts w:eastAsia="仿宋_GB2312" w:asciiTheme="minorAscii" w:hAnsiTheme="minorAscii"/>
      <w:sz w:val="32"/>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2024-10-15T11:10:38Z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5AF6D03652524022A1C6A866EA87DE31</vt:lpwstr>
  </property>
</Properties>
</file>