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right"/>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A</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深圳市商务局</w:t>
      </w:r>
      <w:r>
        <w:rPr>
          <w:rFonts w:hint="eastAsia" w:ascii="方正小标宋简体" w:hAnsi="方正小标宋简体" w:eastAsia="方正小标宋简体" w:cs="方正小标宋简体"/>
          <w:sz w:val="44"/>
          <w:szCs w:val="44"/>
        </w:rPr>
        <w:t>关于</w:t>
      </w:r>
      <w:r>
        <w:rPr>
          <w:rFonts w:hint="default" w:ascii="方正小标宋简体" w:hAnsi="方正小标宋简体" w:eastAsia="方正小标宋简体" w:cs="方正小标宋简体"/>
          <w:sz w:val="44"/>
          <w:szCs w:val="44"/>
        </w:rPr>
        <w:t>市政协七届四次会议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第20240247号</w:t>
      </w:r>
      <w:r>
        <w:rPr>
          <w:rFonts w:hint="default" w:ascii="方正小标宋简体" w:hAnsi="方正小标宋简体" w:eastAsia="方正小标宋简体" w:cs="方正小标宋简体"/>
          <w:sz w:val="44"/>
          <w:szCs w:val="44"/>
        </w:rPr>
        <w:t>提案答复意见</w:t>
      </w:r>
      <w:r>
        <w:rPr>
          <w:rFonts w:hint="eastAsia" w:ascii="方正小标宋简体" w:hAnsi="方正小标宋简体" w:eastAsia="方正小标宋简体" w:cs="方正小标宋简体"/>
          <w:sz w:val="44"/>
          <w:szCs w:val="44"/>
        </w:rPr>
        <w:t>的函</w:t>
      </w:r>
    </w:p>
    <w:p>
      <w:pPr>
        <w:pStyle w:val="4"/>
        <w:keepNext w:val="0"/>
        <w:keepLines w:val="0"/>
        <w:pageBreakBefore w:val="0"/>
        <w:widowControl w:val="0"/>
        <w:kinsoku/>
        <w:wordWrap/>
        <w:overflowPunct/>
        <w:topLinePunct w:val="0"/>
        <w:autoSpaceDE/>
        <w:autoSpaceDN/>
        <w:bidi w:val="0"/>
        <w:adjustRightInd/>
        <w:snapToGrid/>
        <w:spacing w:after="0" w:afterLines="0" w:line="540" w:lineRule="exact"/>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市政协经济委：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《关于推动深圳加快建设更高水平开放型经济新体制的提案》收悉。我局会同市委金融办、人民银行深圳市分行、深圳</w:t>
      </w:r>
      <w:r>
        <w:rPr>
          <w:rFonts w:hint="eastAsia" w:ascii="仿宋_GB2312" w:hAnsi="仿宋_GB2312" w:eastAsia="仿宋_GB2312" w:cs="仿宋_GB2312"/>
          <w:sz w:val="32"/>
          <w:szCs w:val="32"/>
          <w:lang w:eastAsia="zh-CN"/>
        </w:rPr>
        <w:t>金融</w:t>
      </w:r>
      <w:r>
        <w:rPr>
          <w:rFonts w:hint="default" w:ascii="仿宋_GB2312" w:hAnsi="仿宋_GB2312" w:eastAsia="仿宋_GB2312" w:cs="仿宋_GB2312"/>
          <w:sz w:val="32"/>
          <w:szCs w:val="32"/>
        </w:rPr>
        <w:t>监管局、市投资促进局，对照提案意见建议认真开展办理工作。现就提案办理有关情况答复如下：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一、意见建议采纳落实情况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（一）关于“更大力度吸引和利用外资，助力深圳制造业高质量发展”的建议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贯彻落实准入前国民待遇加负面清单制度</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加大</w:t>
      </w:r>
      <w:r>
        <w:rPr>
          <w:rFonts w:hint="eastAsia" w:ascii="仿宋_GB2312" w:hAnsi="仿宋_GB2312" w:eastAsia="仿宋_GB2312" w:cs="仿宋_GB2312"/>
          <w:sz w:val="32"/>
          <w:szCs w:val="32"/>
        </w:rPr>
        <w:t>《深圳经济特区外商投资条例》</w:t>
      </w:r>
      <w:r>
        <w:rPr>
          <w:rFonts w:hint="default" w:ascii="仿宋_GB2312" w:hAnsi="仿宋_GB2312" w:eastAsia="仿宋_GB2312" w:cs="仿宋_GB2312"/>
          <w:sz w:val="32"/>
          <w:szCs w:val="32"/>
        </w:rPr>
        <w:t>宣贯力度</w:t>
      </w:r>
      <w:r>
        <w:rPr>
          <w:rFonts w:hint="eastAsia" w:ascii="仿宋_GB2312" w:hAnsi="仿宋_GB2312" w:eastAsia="仿宋_GB2312" w:cs="仿宋_GB2312"/>
          <w:sz w:val="32"/>
          <w:szCs w:val="32"/>
        </w:rPr>
        <w:t>，明确外商投资准入负面清单以外的领域，按照内外资一致的原则实施管理，外国投资者与内资企业同等条件进入。</w:t>
      </w:r>
      <w:r>
        <w:rPr>
          <w:rFonts w:hint="default" w:ascii="仿宋_GB2312" w:hAnsi="仿宋_GB2312" w:eastAsia="仿宋_GB2312" w:cs="仿宋_GB2312"/>
          <w:sz w:val="32"/>
          <w:szCs w:val="32"/>
        </w:rPr>
        <w:t>贯彻</w:t>
      </w:r>
      <w:r>
        <w:rPr>
          <w:rFonts w:hint="eastAsia" w:ascii="仿宋_GB2312" w:hAnsi="仿宋_GB2312" w:eastAsia="仿宋_GB2312" w:cs="仿宋_GB2312"/>
          <w:b w:val="0"/>
          <w:bCs w:val="0"/>
          <w:color w:val="auto"/>
          <w:sz w:val="32"/>
          <w:szCs w:val="32"/>
          <w:highlight w:val="none"/>
          <w:lang w:val="en-US" w:eastAsia="zh-CN"/>
        </w:rPr>
        <w:t>国家发展改革委、商务部发布《外商投资准入特别管理措施（负面清单）（2024年版）》</w:t>
      </w:r>
      <w:r>
        <w:rPr>
          <w:rFonts w:hint="eastAsia" w:ascii="仿宋_GB2312" w:hAnsi="仿宋_GB2312" w:eastAsia="仿宋_GB2312" w:cs="仿宋_GB2312"/>
          <w:sz w:val="32"/>
          <w:szCs w:val="32"/>
        </w:rPr>
        <w:t>，落实制造业外资准入限制措施</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清零</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要求，</w:t>
      </w:r>
      <w:r>
        <w:rPr>
          <w:rFonts w:hint="eastAsia" w:ascii="仿宋_GB2312" w:hAnsi="仿宋_GB2312" w:eastAsia="仿宋_GB2312" w:cs="仿宋_GB2312"/>
          <w:b w:val="0"/>
          <w:bCs w:val="0"/>
          <w:color w:val="auto"/>
          <w:kern w:val="2"/>
          <w:sz w:val="32"/>
          <w:szCs w:val="32"/>
          <w:u w:val="none"/>
          <w:lang w:val="en-US" w:eastAsia="zh-CN" w:bidi="ar-SA"/>
        </w:rPr>
        <w:t>推动增值电信业务、外资独资医院等领域扩大开放</w:t>
      </w:r>
      <w:r>
        <w:rPr>
          <w:rFonts w:hint="default" w:ascii="仿宋_GB2312" w:hAnsi="仿宋_GB2312" w:eastAsia="仿宋_GB2312" w:cs="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default"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sz w:val="32"/>
          <w:szCs w:val="32"/>
        </w:rPr>
        <w:t>二是</w:t>
      </w:r>
      <w:r>
        <w:rPr>
          <w:rFonts w:hint="default" w:ascii="仿宋_GB2312" w:hAnsi="仿宋_GB2312" w:eastAsia="仿宋_GB2312" w:cs="仿宋_GB2312"/>
          <w:b w:val="0"/>
          <w:bCs w:val="0"/>
          <w:sz w:val="32"/>
          <w:szCs w:val="32"/>
        </w:rPr>
        <w:t>面向先进制造业加大招引力度。</w:t>
      </w:r>
      <w:r>
        <w:rPr>
          <w:rFonts w:hint="default" w:ascii="仿宋_GB2312" w:hAnsi="仿宋_GB2312" w:eastAsia="仿宋_GB2312" w:cs="仿宋_GB2312"/>
          <w:sz w:val="32"/>
          <w:szCs w:val="32"/>
        </w:rPr>
        <w:t>优化外商投资促进机制，建立以“投资促进部门+产业主管部门+区政府”联动招商模式，</w:t>
      </w:r>
      <w:r>
        <w:rPr>
          <w:rFonts w:hint="eastAsia" w:ascii="仿宋_GB2312" w:hAnsi="仿宋_GB2312" w:eastAsia="仿宋_GB2312" w:cs="仿宋_GB2312"/>
          <w:sz w:val="32"/>
          <w:szCs w:val="32"/>
        </w:rPr>
        <w:t>科学制定全市投资促进活动计划，聚焦“20+8”产业集群，市区合力面向国内外城市开展重点产业投资推介</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高质量举办深圳全球招商大会和各类投资促进活动，打造“投资深圳”品牌</w:t>
      </w:r>
      <w:r>
        <w:rPr>
          <w:rFonts w:hint="default" w:ascii="仿宋_GB2312" w:hAnsi="仿宋_GB2312" w:eastAsia="仿宋_GB2312" w:cs="仿宋_GB2312"/>
          <w:sz w:val="32"/>
          <w:szCs w:val="32"/>
        </w:rPr>
        <w:t>。</w:t>
      </w:r>
      <w:r>
        <w:rPr>
          <w:rFonts w:hint="default" w:ascii="仿宋_GB2312" w:hAnsi="仿宋_GB2312" w:eastAsia="仿宋_GB2312" w:cs="仿宋_GB2312"/>
          <w:b w:val="0"/>
          <w:bCs w:val="0"/>
          <w:color w:val="auto"/>
          <w:sz w:val="32"/>
          <w:szCs w:val="32"/>
          <w:lang w:eastAsia="zh-CN"/>
        </w:rPr>
        <w:t>面向德国、法国、日本、韩国、意大利、美国、英国、新加坡等国家，聚焦围绕半导体与集成电路、智能网联汽车、机器人、生物医药与健康、精细化工、海洋经济、高端装备等领域头部企业实施投资</w:t>
      </w:r>
      <w:r>
        <w:rPr>
          <w:rFonts w:hint="eastAsia" w:ascii="仿宋_GB2312" w:hAnsi="仿宋_GB2312" w:eastAsia="仿宋_GB2312" w:cs="仿宋_GB2312"/>
          <w:b w:val="0"/>
          <w:bCs w:val="0"/>
          <w:color w:val="auto"/>
          <w:sz w:val="32"/>
          <w:szCs w:val="32"/>
          <w:lang w:eastAsia="zh-CN"/>
        </w:rPr>
        <w:t>促进</w:t>
      </w:r>
      <w:r>
        <w:rPr>
          <w:rFonts w:hint="default" w:ascii="仿宋_GB2312" w:hAnsi="仿宋_GB2312" w:eastAsia="仿宋_GB2312" w:cs="仿宋_GB2312"/>
          <w:b w:val="0"/>
          <w:bCs w:val="0"/>
          <w:color w:val="auto"/>
          <w:sz w:val="32"/>
          <w:szCs w:val="32"/>
          <w:lang w:eastAsia="zh-CN"/>
        </w:rPr>
        <w:t>专项行动。</w:t>
      </w:r>
    </w:p>
    <w:p>
      <w:pPr>
        <w:pStyle w:val="4"/>
        <w:keepNext w:val="0"/>
        <w:keepLines w:val="0"/>
        <w:pageBreakBefore w:val="0"/>
        <w:widowControl w:val="0"/>
        <w:kinsoku/>
        <w:wordWrap/>
        <w:overflowPunct/>
        <w:topLinePunct w:val="0"/>
        <w:autoSpaceDE/>
        <w:autoSpaceDN/>
        <w:bidi w:val="0"/>
        <w:adjustRightInd/>
        <w:snapToGrid/>
        <w:spacing w:after="0" w:afterLines="0" w:line="540" w:lineRule="exact"/>
        <w:ind w:firstLine="642"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b/>
          <w:bCs/>
          <w:sz w:val="32"/>
          <w:szCs w:val="32"/>
        </w:rPr>
        <w:t>三是</w:t>
      </w:r>
      <w:r>
        <w:rPr>
          <w:rFonts w:hint="default" w:ascii="仿宋_GB2312" w:hAnsi="仿宋_GB2312" w:eastAsia="仿宋_GB2312" w:cs="仿宋_GB2312"/>
          <w:sz w:val="32"/>
          <w:szCs w:val="32"/>
        </w:rPr>
        <w:t>做好外商投资企业服务工作。健全外资企业圆桌会议长效机制，保障外资企业国民待遇。今年以来，举办</w:t>
      </w:r>
      <w:r>
        <w:rPr>
          <w:rFonts w:hint="eastAsia" w:ascii="仿宋_GB2312" w:hAnsi="仿宋_GB2312" w:eastAsia="仿宋_GB2312" w:cs="仿宋_GB2312"/>
          <w:sz w:val="32"/>
          <w:szCs w:val="32"/>
        </w:rPr>
        <w:t>外商投资企业圆桌会议</w:t>
      </w:r>
      <w:r>
        <w:rPr>
          <w:rFonts w:hint="default" w:ascii="仿宋_GB2312" w:hAnsi="仿宋_GB2312" w:eastAsia="仿宋_GB2312" w:cs="仿宋_GB2312"/>
          <w:sz w:val="32"/>
          <w:szCs w:val="32"/>
        </w:rPr>
        <w:t>超15场，组织政府部门、外国商会、外国驻华使领馆、外商投资企业面对面交流，宣讲外商投资政策，解答企业关心关切。持续</w:t>
      </w:r>
      <w:r>
        <w:rPr>
          <w:rFonts w:hint="default" w:ascii="仿宋_GB2312" w:hAnsi="仿宋_GB2312" w:eastAsia="仿宋_GB2312" w:cs="仿宋_GB2312"/>
          <w:b w:val="0"/>
          <w:bCs w:val="0"/>
          <w:color w:val="auto"/>
          <w:sz w:val="32"/>
          <w:szCs w:val="32"/>
          <w:lang w:eastAsia="zh-CN"/>
        </w:rPr>
        <w:t>构建外商投资促进公共服务体系</w:t>
      </w:r>
      <w:r>
        <w:rPr>
          <w:rFonts w:hint="eastAsia" w:ascii="仿宋_GB2312" w:hAnsi="仿宋_GB2312" w:eastAsia="仿宋_GB2312" w:cs="仿宋_GB2312"/>
          <w:b w:val="0"/>
          <w:bCs w:val="0"/>
          <w:color w:val="auto"/>
          <w:sz w:val="32"/>
          <w:szCs w:val="32"/>
          <w:lang w:eastAsia="zh-CN"/>
        </w:rPr>
        <w:t>，</w:t>
      </w:r>
      <w:r>
        <w:rPr>
          <w:rFonts w:hint="default" w:ascii="仿宋_GB2312" w:hAnsi="仿宋_GB2312" w:eastAsia="仿宋_GB2312" w:cs="仿宋_GB2312"/>
          <w:b w:val="0"/>
          <w:bCs w:val="0"/>
          <w:color w:val="auto"/>
          <w:sz w:val="32"/>
          <w:szCs w:val="32"/>
          <w:lang w:eastAsia="zh-CN"/>
        </w:rPr>
        <w:t>建设深圳市外商投资企业权益保护服务工作站和“深圳外商投资促进服务信息平台”，</w:t>
      </w:r>
      <w:r>
        <w:rPr>
          <w:rFonts w:hint="default" w:ascii="仿宋_GB2312" w:hAnsi="仿宋_GB2312" w:eastAsia="仿宋_GB2312" w:cs="仿宋_GB2312"/>
          <w:sz w:val="32"/>
          <w:szCs w:val="32"/>
        </w:rPr>
        <w:t>走访及接待服务外资企业、处理企业诉求、解决企业日常咨询。</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b/>
          <w:bCs/>
          <w:sz w:val="32"/>
          <w:szCs w:val="32"/>
        </w:rPr>
        <w:t>四</w:t>
      </w:r>
      <w:r>
        <w:rPr>
          <w:rFonts w:hint="eastAsia" w:ascii="仿宋_GB2312" w:hAnsi="仿宋_GB2312" w:eastAsia="仿宋_GB2312" w:cs="仿宋_GB2312"/>
          <w:b/>
          <w:bCs/>
          <w:sz w:val="32"/>
          <w:szCs w:val="32"/>
        </w:rPr>
        <w:t>是</w:t>
      </w:r>
      <w:r>
        <w:rPr>
          <w:rFonts w:hint="default" w:ascii="仿宋_GB2312" w:hAnsi="仿宋_GB2312" w:eastAsia="仿宋_GB2312" w:cs="仿宋_GB2312"/>
          <w:b w:val="0"/>
          <w:bCs w:val="0"/>
          <w:sz w:val="32"/>
          <w:szCs w:val="32"/>
        </w:rPr>
        <w:t>加大外资政策支持力度。</w:t>
      </w:r>
      <w:r>
        <w:rPr>
          <w:rFonts w:hint="eastAsia" w:ascii="仿宋_GB2312" w:hAnsi="仿宋_GB2312" w:eastAsia="仿宋_GB2312" w:cs="仿宋_GB2312"/>
          <w:sz w:val="32"/>
          <w:szCs w:val="32"/>
        </w:rPr>
        <w:t>今年以来，先后印发《深圳市进一步加大吸引和利用外资实施办法》《关于进一步加强投资促进工作的意见》，围绕先进制造业新技术新产品新产业，招引具有行业影响力的标志性项目和培育经济发展新动能的引领性项目。</w:t>
      </w:r>
      <w:r>
        <w:rPr>
          <w:rFonts w:hint="default" w:ascii="仿宋_GB2312" w:hAnsi="仿宋_GB2312" w:eastAsia="仿宋_GB2312" w:cs="仿宋_GB2312"/>
          <w:sz w:val="32"/>
          <w:szCs w:val="32"/>
        </w:rPr>
        <w:t>积极施行</w:t>
      </w:r>
      <w:r>
        <w:rPr>
          <w:rFonts w:hint="eastAsia" w:ascii="仿宋_GB2312" w:hAnsi="仿宋_GB2312" w:eastAsia="仿宋_GB2312" w:cs="仿宋_GB2312"/>
          <w:sz w:val="32"/>
          <w:szCs w:val="32"/>
        </w:rPr>
        <w:t>《深圳市鼓励跨国公司设立总部企业办法（修订版）》</w:t>
      </w:r>
      <w:r>
        <w:rPr>
          <w:rFonts w:hint="default" w:ascii="仿宋_GB2312" w:hAnsi="仿宋_GB2312" w:eastAsia="仿宋_GB2312" w:cs="仿宋_GB2312"/>
          <w:sz w:val="32"/>
          <w:szCs w:val="32"/>
        </w:rPr>
        <w:t>，</w:t>
      </w:r>
      <w:r>
        <w:rPr>
          <w:rFonts w:hint="default" w:ascii="仿宋_GB2312" w:hAnsi="仿宋_GB2312" w:eastAsia="仿宋_GB2312" w:cs="仿宋_GB2312"/>
          <w:b w:val="0"/>
          <w:bCs w:val="0"/>
          <w:color w:val="auto"/>
          <w:sz w:val="32"/>
          <w:szCs w:val="32"/>
          <w:lang w:eastAsia="zh-CN"/>
        </w:rPr>
        <w:t>鼓励和引进更多跨国公司在深圳设立地区总部和具有总部功能的机构</w:t>
      </w:r>
      <w:r>
        <w:rPr>
          <w:rFonts w:hint="eastAsia" w:ascii="仿宋_GB2312" w:hAnsi="仿宋_GB2312" w:eastAsia="仿宋_GB2312" w:cs="仿宋_GB2312"/>
          <w:b w:val="0"/>
          <w:bCs w:val="0"/>
          <w:color w:val="auto"/>
          <w:sz w:val="32"/>
          <w:szCs w:val="32"/>
          <w:lang w:eastAsia="zh-CN"/>
        </w:rPr>
        <w:t>，</w:t>
      </w:r>
      <w:r>
        <w:rPr>
          <w:rFonts w:hint="default" w:ascii="仿宋_GB2312" w:hAnsi="仿宋_GB2312" w:eastAsia="仿宋_GB2312" w:cs="仿宋_GB2312"/>
          <w:b w:val="0"/>
          <w:bCs w:val="0"/>
          <w:color w:val="auto"/>
          <w:sz w:val="32"/>
          <w:szCs w:val="32"/>
          <w:lang w:eastAsia="zh-CN"/>
        </w:rPr>
        <w:t>累计认定沃尔玛中国、凯为医疗、麦克维尔等跨国公司总部企业105家。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（二）关于“提升服务贸易发展能级，优化深圳外贸发展结构”的建议</w:t>
      </w:r>
    </w:p>
    <w:p>
      <w:pPr>
        <w:pStyle w:val="9"/>
        <w:keepNext w:val="0"/>
        <w:keepLines w:val="0"/>
        <w:pageBreakBefore w:val="0"/>
        <w:widowControl w:val="0"/>
        <w:kinsoku/>
        <w:wordWrap/>
        <w:overflowPunct/>
        <w:topLinePunct w:val="0"/>
        <w:autoSpaceDE/>
        <w:autoSpaceDN/>
        <w:bidi w:val="0"/>
        <w:adjustRightInd/>
        <w:snapToGrid/>
        <w:spacing w:after="0" w:line="54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lang w:val="en-US" w:eastAsia="zh-CN" w:bidi="ar-SA"/>
        </w:rPr>
        <w:t>一是</w:t>
      </w:r>
      <w:r>
        <w:rPr>
          <w:rFonts w:hint="default" w:ascii="仿宋_GB2312" w:hAnsi="仿宋_GB2312" w:eastAsia="仿宋_GB2312" w:cs="仿宋_GB2312"/>
          <w:kern w:val="2"/>
          <w:sz w:val="32"/>
          <w:szCs w:val="32"/>
          <w:lang w:eastAsia="zh-CN" w:bidi="ar-SA"/>
        </w:rPr>
        <w:t>推进</w:t>
      </w:r>
      <w:r>
        <w:rPr>
          <w:rFonts w:hint="eastAsia" w:ascii="仿宋_GB2312" w:hAnsi="仿宋_GB2312" w:eastAsia="仿宋_GB2312" w:cs="仿宋_GB2312"/>
          <w:kern w:val="2"/>
          <w:sz w:val="32"/>
          <w:szCs w:val="32"/>
          <w:lang w:val="en-US" w:eastAsia="zh-CN" w:bidi="ar-SA"/>
        </w:rPr>
        <w:t>服务贸易高质量发展。</w:t>
      </w:r>
      <w:r>
        <w:rPr>
          <w:rFonts w:hint="eastAsia" w:ascii="仿宋_GB2312" w:hAnsi="仿宋_GB2312" w:eastAsia="仿宋_GB2312" w:cs="仿宋_GB2312"/>
          <w:b w:val="0"/>
          <w:bCs w:val="0"/>
          <w:color w:val="auto"/>
          <w:kern w:val="2"/>
          <w:sz w:val="32"/>
          <w:szCs w:val="32"/>
          <w:u w:val="none"/>
          <w:lang w:val="zh-CN" w:eastAsia="zh-CN" w:bidi="ar-SA"/>
        </w:rPr>
        <w:t>完善全域全行业抓服务贸易工作机制，</w:t>
      </w:r>
      <w:r>
        <w:rPr>
          <w:rFonts w:hint="default" w:ascii="仿宋_GB2312" w:hAnsi="仿宋_GB2312" w:cs="仿宋_GB2312"/>
          <w:kern w:val="2"/>
          <w:sz w:val="32"/>
          <w:szCs w:val="32"/>
          <w:lang w:eastAsia="zh-CN" w:bidi="ar-SA"/>
        </w:rPr>
        <w:t>持续</w:t>
      </w:r>
      <w:r>
        <w:rPr>
          <w:rFonts w:hint="default" w:ascii="仿宋_GB2312" w:hAnsi="仿宋_GB2312" w:eastAsia="仿宋_GB2312" w:cs="仿宋_GB2312"/>
          <w:color w:val="000000"/>
          <w:kern w:val="2"/>
          <w:sz w:val="32"/>
          <w:szCs w:val="32"/>
          <w:shd w:val="clear" w:color="auto" w:fill="FFFFFF"/>
          <w:lang w:eastAsia="zh-CN" w:bidi="ar-SA"/>
        </w:rPr>
        <w:t>培育福田区国家知识产权服务出口基地、国家语言服务领域特色服务出口基地（新译信息科技）、讯美科技广场省级数字服务出口基地</w:t>
      </w:r>
      <w:r>
        <w:rPr>
          <w:rFonts w:hint="eastAsia" w:ascii="仿宋_GB2312" w:hAnsi="仿宋_GB2312" w:eastAsia="仿宋_GB2312" w:cs="仿宋_GB2312"/>
          <w:color w:val="000000"/>
          <w:kern w:val="2"/>
          <w:sz w:val="32"/>
          <w:szCs w:val="32"/>
          <w:shd w:val="clear" w:color="auto" w:fill="FFFFFF"/>
          <w:lang w:eastAsia="zh-CN" w:bidi="ar-SA"/>
        </w:rPr>
        <w:t>，</w:t>
      </w:r>
      <w:r>
        <w:rPr>
          <w:rFonts w:hint="eastAsia" w:ascii="仿宋_GB2312" w:hAnsi="仿宋_GB2312" w:eastAsia="仿宋_GB2312" w:cs="仿宋_GB2312"/>
          <w:b w:val="0"/>
          <w:bCs w:val="0"/>
          <w:color w:val="auto"/>
          <w:kern w:val="2"/>
          <w:sz w:val="32"/>
          <w:szCs w:val="32"/>
          <w:u w:val="none"/>
          <w:lang w:val="zh-CN" w:eastAsia="zh-CN" w:bidi="ar-SA"/>
        </w:rPr>
        <w:t>争取服务业扩大开放综合试点，争创国家服务贸易创新发展示范区。</w:t>
      </w:r>
      <w:r>
        <w:rPr>
          <w:rFonts w:hint="eastAsia" w:ascii="仿宋_GB2312" w:hAnsi="仿宋_GB2312" w:eastAsia="仿宋_GB2312" w:cs="仿宋_GB2312"/>
          <w:sz w:val="32"/>
          <w:szCs w:val="32"/>
          <w:lang w:eastAsia="zh-CN"/>
        </w:rPr>
        <w:t>今年</w:t>
      </w:r>
      <w:r>
        <w:rPr>
          <w:rFonts w:hint="eastAsia" w:ascii="仿宋_GB2312" w:hAnsi="仿宋_GB2312" w:eastAsia="仿宋_GB2312" w:cs="仿宋_GB2312"/>
          <w:sz w:val="32"/>
          <w:szCs w:val="32"/>
          <w:lang w:val="en-US" w:eastAsia="zh-CN"/>
        </w:rPr>
        <w:t>6月20日，推动</w:t>
      </w:r>
      <w:r>
        <w:rPr>
          <w:rFonts w:hint="eastAsia" w:ascii="仿宋_GB2312" w:hAnsi="仿宋_GB2312" w:eastAsia="仿宋_GB2312" w:cs="仿宋_GB2312"/>
          <w:sz w:val="32"/>
          <w:szCs w:val="32"/>
          <w:lang w:eastAsia="zh-CN"/>
        </w:rPr>
        <w:t>出台《深圳市关于推动服务贸易高质量发展行动计划（2024—2025</w:t>
      </w:r>
      <w:r>
        <w:rPr>
          <w:rFonts w:hint="eastAsia" w:ascii="仿宋_GB2312" w:hAnsi="仿宋_GB2312" w:eastAsia="仿宋_GB2312" w:cs="仿宋_GB2312"/>
          <w:sz w:val="32"/>
          <w:szCs w:val="32"/>
          <w:lang w:val="en-US" w:eastAsia="zh-CN"/>
        </w:rPr>
        <w:t>年）》，加快推进服务贸易领域创新发展，推动数字贸易先行示范，扩大传统优势服务贸易规模，提升高端服务贸易发展能级。</w:t>
      </w:r>
      <w:r>
        <w:rPr>
          <w:rFonts w:hint="default" w:ascii="仿宋_GB2312" w:hAnsi="仿宋_GB2312" w:eastAsia="仿宋_GB2312" w:cs="仿宋_GB2312"/>
          <w:sz w:val="32"/>
          <w:szCs w:val="32"/>
          <w:lang w:eastAsia="zh-CN"/>
        </w:rPr>
        <w:t>举办推动深圳市服务贸易高质量发展系列政策体系宣讲会，提高政策知晓率和惠及面。</w:t>
      </w:r>
    </w:p>
    <w:p>
      <w:pPr>
        <w:pStyle w:val="9"/>
        <w:keepNext w:val="0"/>
        <w:keepLines w:val="0"/>
        <w:pageBreakBefore w:val="0"/>
        <w:widowControl w:val="0"/>
        <w:kinsoku/>
        <w:wordWrap/>
        <w:overflowPunct/>
        <w:topLinePunct w:val="0"/>
        <w:autoSpaceDE/>
        <w:autoSpaceDN/>
        <w:bidi w:val="0"/>
        <w:adjustRightInd/>
        <w:snapToGrid/>
        <w:spacing w:after="0" w:line="540" w:lineRule="exact"/>
        <w:textAlignment w:val="auto"/>
        <w:rPr>
          <w:rFonts w:hint="default" w:ascii="仿宋_GB2312" w:hAnsi="等线" w:cs="仿宋_GB2312"/>
          <w:sz w:val="32"/>
          <w:szCs w:val="32"/>
          <w:lang w:eastAsia="zh-CN"/>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培育</w:t>
      </w:r>
      <w:r>
        <w:rPr>
          <w:rFonts w:hint="eastAsia" w:ascii="仿宋_GB2312" w:hAnsi="仿宋_GB2312" w:eastAsia="仿宋_GB2312" w:cs="仿宋_GB2312"/>
          <w:sz w:val="32"/>
          <w:szCs w:val="32"/>
          <w:lang w:val="en-US" w:eastAsia="zh-CN"/>
        </w:rPr>
        <w:t>壮大</w:t>
      </w:r>
      <w:r>
        <w:rPr>
          <w:rFonts w:hint="eastAsia" w:ascii="仿宋_GB2312" w:hAnsi="仿宋_GB2312" w:eastAsia="仿宋_GB2312" w:cs="仿宋_GB2312"/>
          <w:sz w:val="32"/>
          <w:szCs w:val="32"/>
        </w:rPr>
        <w:t>服务贸易主体</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组织</w:t>
      </w:r>
      <w:r>
        <w:rPr>
          <w:rFonts w:hint="eastAsia" w:ascii="仿宋_GB2312" w:hAnsi="等线" w:eastAsia="仿宋_GB2312" w:cs="仿宋_GB2312"/>
          <w:sz w:val="32"/>
          <w:szCs w:val="32"/>
          <w:lang w:val="en-US" w:eastAsia="zh-CN"/>
        </w:rPr>
        <w:t>虾皮信息、迈瑞生物、华大集团、深免集团、腾讯科技、华强方特、招商银行、创贸科技、优必选等22家</w:t>
      </w:r>
      <w:r>
        <w:rPr>
          <w:rFonts w:hint="default" w:ascii="仿宋_GB2312" w:hAnsi="等线" w:eastAsia="仿宋_GB2312" w:cs="仿宋_GB2312"/>
          <w:sz w:val="32"/>
          <w:szCs w:val="32"/>
          <w:lang w:eastAsia="zh-CN"/>
        </w:rPr>
        <w:t>重点</w:t>
      </w:r>
      <w:r>
        <w:rPr>
          <w:rFonts w:hint="eastAsia" w:ascii="仿宋_GB2312" w:hAnsi="等线" w:eastAsia="仿宋_GB2312" w:cs="仿宋_GB2312"/>
          <w:sz w:val="32"/>
          <w:szCs w:val="32"/>
          <w:lang w:val="en-US" w:eastAsia="zh-CN"/>
        </w:rPr>
        <w:t>企业及机构</w:t>
      </w:r>
      <w:r>
        <w:rPr>
          <w:rFonts w:hint="default" w:ascii="仿宋_GB2312" w:hAnsi="等线" w:eastAsia="仿宋_GB2312" w:cs="仿宋_GB2312"/>
          <w:sz w:val="32"/>
          <w:szCs w:val="32"/>
          <w:lang w:eastAsia="zh-CN"/>
        </w:rPr>
        <w:t>参加</w:t>
      </w:r>
      <w:r>
        <w:rPr>
          <w:rFonts w:hint="eastAsia" w:ascii="仿宋_GB2312" w:hAnsi="等线" w:eastAsia="仿宋_GB2312" w:cs="仿宋_GB2312"/>
          <w:sz w:val="32"/>
          <w:szCs w:val="32"/>
        </w:rPr>
        <w:t>2024年中国国际服务贸易交易会</w:t>
      </w:r>
      <w:r>
        <w:rPr>
          <w:rFonts w:hint="default" w:ascii="仿宋_GB2312" w:hAnsi="等线" w:eastAsia="仿宋_GB2312" w:cs="仿宋_GB2312"/>
          <w:sz w:val="32"/>
          <w:szCs w:val="32"/>
        </w:rPr>
        <w:t>，</w:t>
      </w:r>
      <w:r>
        <w:rPr>
          <w:rFonts w:hint="eastAsia" w:ascii="仿宋_GB2312" w:hAnsi="等线" w:eastAsia="仿宋_GB2312" w:cs="仿宋_GB2312"/>
          <w:sz w:val="32"/>
          <w:szCs w:val="32"/>
          <w:lang w:val="en-US" w:eastAsia="zh-CN"/>
        </w:rPr>
        <w:t>集中展示深圳服务贸易最新成果和企业新技术、新服务</w:t>
      </w:r>
      <w:r>
        <w:rPr>
          <w:rFonts w:hint="default" w:ascii="仿宋_GB2312" w:hAnsi="等线" w:cs="仿宋_GB2312"/>
          <w:sz w:val="32"/>
          <w:szCs w:val="32"/>
          <w:lang w:eastAsia="zh-CN"/>
        </w:rPr>
        <w:t>。培育壮大高端专业服务出口市场主体，支持会计、法律和检验检测等专业服务高端化国际化发展。支持服务贸易企业投保出口信用保险，将服务贸易企业纳入出口信用保险政策范围。</w:t>
      </w:r>
    </w:p>
    <w:p>
      <w:pPr>
        <w:pStyle w:val="9"/>
        <w:keepNext w:val="0"/>
        <w:keepLines w:val="0"/>
        <w:pageBreakBefore w:val="0"/>
        <w:widowControl w:val="0"/>
        <w:kinsoku/>
        <w:wordWrap/>
        <w:overflowPunct/>
        <w:topLinePunct w:val="0"/>
        <w:autoSpaceDE/>
        <w:autoSpaceDN/>
        <w:bidi w:val="0"/>
        <w:adjustRightInd/>
        <w:snapToGrid/>
        <w:spacing w:after="0" w:line="540" w:lineRule="exact"/>
        <w:textAlignment w:val="auto"/>
        <w:rPr>
          <w:rFonts w:hint="default" w:ascii="仿宋_GB2312" w:hAnsi="仿宋_GB2312" w:eastAsia="仿宋_GB2312" w:cs="仿宋_GB2312"/>
          <w:b w:val="0"/>
          <w:bCs w:val="0"/>
          <w:kern w:val="2"/>
          <w:sz w:val="32"/>
          <w:szCs w:val="32"/>
          <w:highlight w:val="none"/>
          <w:lang w:eastAsia="zh-CN" w:bidi="ar-SA"/>
        </w:rPr>
      </w:pPr>
      <w:r>
        <w:rPr>
          <w:rFonts w:hint="default" w:ascii="仿宋_GB2312" w:hAnsi="等线" w:cs="仿宋_GB2312"/>
          <w:b/>
          <w:bCs/>
          <w:sz w:val="32"/>
          <w:szCs w:val="32"/>
          <w:lang w:eastAsia="zh-CN"/>
        </w:rPr>
        <w:t>三是</w:t>
      </w:r>
      <w:r>
        <w:rPr>
          <w:rFonts w:hint="eastAsia" w:ascii="仿宋_GB2312" w:hAnsi="仿宋_GB2312" w:eastAsia="仿宋_GB2312" w:cs="仿宋_GB2312"/>
          <w:b w:val="0"/>
          <w:bCs/>
          <w:color w:val="auto"/>
          <w:sz w:val="32"/>
          <w:szCs w:val="32"/>
          <w:highlight w:val="none"/>
          <w:lang w:val="en-US" w:eastAsia="zh-CN"/>
        </w:rPr>
        <w:t>加快服务外包产业转型升级</w:t>
      </w:r>
      <w:r>
        <w:rPr>
          <w:rFonts w:hint="default" w:ascii="仿宋_GB2312" w:hAnsi="仿宋_GB2312" w:cs="仿宋_GB2312"/>
          <w:sz w:val="32"/>
          <w:szCs w:val="32"/>
          <w:lang w:eastAsia="zh-CN"/>
        </w:rPr>
        <w:t>。用足用好</w:t>
      </w:r>
      <w:r>
        <w:rPr>
          <w:rFonts w:hint="default" w:ascii="仿宋_GB2312" w:hAnsi="仿宋_GB2312" w:eastAsia="仿宋_GB2312" w:cs="仿宋_GB2312"/>
          <w:sz w:val="32"/>
          <w:szCs w:val="32"/>
          <w:lang w:eastAsia="zh-CN"/>
        </w:rPr>
        <w:t>中央资金（服务贸易事项），</w:t>
      </w:r>
      <w:r>
        <w:rPr>
          <w:rFonts w:hint="eastAsia" w:ascii="仿宋_GB2312" w:hAnsi="楷体_GB2312" w:eastAsia="仿宋_GB2312" w:cs="楷体_GB2312"/>
          <w:sz w:val="32"/>
          <w:szCs w:val="32"/>
        </w:rPr>
        <w:t>对承接国际服务外包业务企业取得国际资质认证所发生的相关费用，或已获得的国际资质认证的维护、升级等费用给予支持</w:t>
      </w:r>
      <w:r>
        <w:rPr>
          <w:rFonts w:hint="default" w:ascii="仿宋_GB2312" w:hAnsi="楷体_GB2312" w:eastAsia="仿宋_GB2312" w:cs="楷体_GB2312"/>
          <w:sz w:val="32"/>
          <w:szCs w:val="32"/>
        </w:rPr>
        <w:t>；</w:t>
      </w:r>
      <w:r>
        <w:rPr>
          <w:rFonts w:hint="eastAsia" w:ascii="仿宋_GB2312" w:hAnsi="楷体_GB2312" w:eastAsia="仿宋_GB2312" w:cs="楷体_GB2312"/>
          <w:sz w:val="32"/>
          <w:szCs w:val="32"/>
        </w:rPr>
        <w:t>对服务外包企业实际取得的离岸服务外包收入给予贴息支持</w:t>
      </w:r>
      <w:r>
        <w:rPr>
          <w:rFonts w:hint="default" w:ascii="仿宋_GB2312" w:hAnsi="楷体_GB2312" w:eastAsia="仿宋_GB2312" w:cs="楷体_GB2312"/>
          <w:sz w:val="32"/>
          <w:szCs w:val="32"/>
        </w:rPr>
        <w:t>。</w:t>
      </w:r>
      <w:r>
        <w:rPr>
          <w:rFonts w:hint="default" w:ascii="仿宋_GB2312" w:hAnsi="仿宋_GB2312" w:eastAsia="仿宋_GB2312" w:cs="仿宋_GB2312"/>
          <w:b w:val="0"/>
          <w:bCs w:val="0"/>
          <w:kern w:val="2"/>
          <w:sz w:val="32"/>
          <w:szCs w:val="32"/>
          <w:lang w:eastAsia="zh-CN" w:bidi="ar-SA"/>
        </w:rPr>
        <w:t>发挥市级资金引导作用，</w:t>
      </w:r>
      <w:r>
        <w:rPr>
          <w:rFonts w:hint="eastAsia" w:ascii="仿宋_GB2312" w:eastAsia="仿宋_GB2312"/>
          <w:sz w:val="32"/>
          <w:szCs w:val="32"/>
          <w:lang w:val="en-US" w:eastAsia="zh-CN"/>
        </w:rPr>
        <w:t>支持服务贸易企业通过合法合规信息通信网络跨境传输数据、数字产品或提供数字内容等服务</w:t>
      </w:r>
      <w:r>
        <w:rPr>
          <w:rFonts w:hint="default" w:ascii="仿宋_GB2312" w:eastAsia="仿宋_GB2312"/>
          <w:sz w:val="32"/>
          <w:szCs w:val="32"/>
          <w:lang w:eastAsia="zh-CN"/>
        </w:rPr>
        <w:t>；</w:t>
      </w:r>
      <w:r>
        <w:rPr>
          <w:rFonts w:hint="eastAsia" w:ascii="仿宋_GB2312" w:eastAsia="仿宋_GB2312"/>
          <w:sz w:val="32"/>
          <w:szCs w:val="32"/>
          <w:lang w:val="en-US" w:eastAsia="zh-CN"/>
        </w:rPr>
        <w:t>支持服务外包企业承接信息技术外包（ITO）和知识流程外包（KPO）等高增值型服务外包服务</w:t>
      </w:r>
      <w:r>
        <w:rPr>
          <w:rFonts w:hint="eastAsia" w:ascii="仿宋_GB2312" w:hAnsi="仿宋_GB2312" w:eastAsia="仿宋_GB2312" w:cs="仿宋_GB2312"/>
          <w:b w:val="0"/>
          <w:bCs w:val="0"/>
          <w:kern w:val="2"/>
          <w:sz w:val="32"/>
          <w:szCs w:val="32"/>
          <w:highlight w:val="none"/>
          <w:lang w:eastAsia="zh-CN" w:bidi="ar-SA"/>
        </w:rPr>
        <w:t>，</w:t>
      </w:r>
      <w:r>
        <w:rPr>
          <w:rFonts w:hint="default" w:ascii="仿宋_GB2312" w:hAnsi="仿宋_GB2312" w:cs="仿宋_GB2312"/>
          <w:b w:val="0"/>
          <w:bCs w:val="0"/>
          <w:kern w:val="2"/>
          <w:sz w:val="32"/>
          <w:szCs w:val="32"/>
          <w:highlight w:val="none"/>
          <w:lang w:eastAsia="zh-CN" w:bidi="ar-SA"/>
        </w:rPr>
        <w:t>集聚</w:t>
      </w:r>
      <w:r>
        <w:rPr>
          <w:rFonts w:hint="eastAsia" w:ascii="仿宋_GB2312" w:eastAsia="仿宋_GB2312"/>
          <w:color w:val="000000"/>
          <w:sz w:val="32"/>
          <w:szCs w:val="32"/>
        </w:rPr>
        <w:t>以华为、中兴、联发软件、莱茵技术等为代表的</w:t>
      </w:r>
      <w:r>
        <w:rPr>
          <w:rFonts w:hint="eastAsia" w:ascii="仿宋_GB2312" w:eastAsia="仿宋_GB2312"/>
          <w:color w:val="000000"/>
          <w:sz w:val="32"/>
          <w:szCs w:val="32"/>
          <w:lang w:eastAsia="zh-CN"/>
        </w:rPr>
        <w:t>一批</w:t>
      </w:r>
      <w:r>
        <w:rPr>
          <w:rFonts w:hint="eastAsia" w:ascii="仿宋_GB2312" w:eastAsia="仿宋_GB2312"/>
          <w:color w:val="000000"/>
          <w:sz w:val="32"/>
          <w:szCs w:val="32"/>
        </w:rPr>
        <w:t>服务外包领军企业</w:t>
      </w:r>
      <w:r>
        <w:rPr>
          <w:rFonts w:hint="default" w:ascii="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（三）关于“建立健全数字贸易治理体系，培育深圳外贸发展新动能”的建议</w:t>
      </w:r>
    </w:p>
    <w:p>
      <w:pPr>
        <w:pStyle w:val="4"/>
        <w:keepNext w:val="0"/>
        <w:keepLines w:val="0"/>
        <w:pageBreakBefore w:val="0"/>
        <w:widowControl w:val="0"/>
        <w:kinsoku/>
        <w:wordWrap/>
        <w:overflowPunct/>
        <w:topLinePunct w:val="0"/>
        <w:autoSpaceDE/>
        <w:autoSpaceDN/>
        <w:bidi w:val="0"/>
        <w:adjustRightInd/>
        <w:snapToGrid/>
        <w:spacing w:after="0" w:afterLines="0" w:line="540" w:lineRule="exact"/>
        <w:ind w:firstLine="642"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b/>
          <w:bCs/>
          <w:color w:val="auto"/>
          <w:sz w:val="32"/>
          <w:szCs w:val="32"/>
          <w:highlight w:val="none"/>
        </w:rPr>
        <w:t>一</w:t>
      </w:r>
      <w:r>
        <w:rPr>
          <w:rFonts w:hint="eastAsia" w:ascii="仿宋_GB2312" w:hAnsi="仿宋_GB2312" w:eastAsia="仿宋_GB2312" w:cs="仿宋_GB2312"/>
          <w:b/>
          <w:bCs/>
          <w:color w:val="auto"/>
          <w:sz w:val="32"/>
          <w:szCs w:val="32"/>
          <w:highlight w:val="none"/>
        </w:rPr>
        <w:t>是</w:t>
      </w:r>
      <w:r>
        <w:rPr>
          <w:rFonts w:hint="default" w:ascii="仿宋_GB2312" w:hAnsi="仿宋_GB2312" w:eastAsia="仿宋_GB2312" w:cs="仿宋_GB2312"/>
          <w:color w:val="auto"/>
          <w:sz w:val="32"/>
          <w:szCs w:val="32"/>
          <w:highlight w:val="none"/>
        </w:rPr>
        <w:t>构建数字贸易统计体系</w:t>
      </w:r>
      <w:r>
        <w:rPr>
          <w:rFonts w:hint="eastAsia" w:ascii="仿宋_GB2312" w:hAnsi="仿宋_GB2312" w:eastAsia="仿宋_GB2312" w:cs="仿宋_GB2312"/>
          <w:color w:val="auto"/>
          <w:sz w:val="32"/>
          <w:szCs w:val="32"/>
          <w:highlight w:val="none"/>
        </w:rPr>
        <w:t>。依据《国际服务贸易统计监测制度》《服务外包统计操作指引》等相关分类标准，初步形成数字贸易统计体系，</w:t>
      </w:r>
      <w:r>
        <w:rPr>
          <w:rFonts w:hint="eastAsia" w:ascii="仿宋_GB2312" w:hAnsi="仿宋_GB2312" w:eastAsia="仿宋_GB2312" w:cs="仿宋_GB2312"/>
          <w:color w:val="auto"/>
          <w:sz w:val="32"/>
          <w:szCs w:val="32"/>
          <w:highlight w:val="none"/>
          <w:lang w:eastAsia="zh-CN"/>
        </w:rPr>
        <w:t>包括</w:t>
      </w:r>
      <w:r>
        <w:rPr>
          <w:rFonts w:hint="default" w:ascii="仿宋_GB2312" w:hAnsi="仿宋_GB2312" w:eastAsia="仿宋_GB2312" w:cs="仿宋_GB2312"/>
          <w:color w:val="auto"/>
          <w:sz w:val="32"/>
          <w:szCs w:val="32"/>
          <w:highlight w:val="none"/>
        </w:rPr>
        <w:t>可数字化服务、贸易数字化赋能平台、数据跨境流动</w:t>
      </w:r>
      <w:r>
        <w:rPr>
          <w:rFonts w:hint="eastAsia" w:ascii="仿宋_GB2312" w:hAnsi="仿宋_GB2312" w:eastAsia="仿宋_GB2312" w:cs="仿宋_GB2312"/>
          <w:color w:val="auto"/>
          <w:sz w:val="32"/>
          <w:szCs w:val="32"/>
          <w:highlight w:val="none"/>
        </w:rPr>
        <w:t>三个维度</w:t>
      </w:r>
      <w:r>
        <w:rPr>
          <w:rFonts w:hint="default" w:ascii="仿宋_GB2312" w:hAnsi="仿宋_GB2312" w:eastAsia="仿宋_GB2312" w:cs="仿宋_GB2312"/>
          <w:color w:val="auto"/>
          <w:sz w:val="32"/>
          <w:szCs w:val="32"/>
          <w:highlight w:val="none"/>
        </w:rPr>
        <w:t>，知识产权使用费服务、离岸外包服务等</w:t>
      </w:r>
      <w:r>
        <w:rPr>
          <w:rFonts w:hint="eastAsia" w:ascii="仿宋_GB2312" w:hAnsi="仿宋_GB2312" w:eastAsia="仿宋_GB2312" w:cs="仿宋_GB2312"/>
          <w:color w:val="auto"/>
          <w:sz w:val="32"/>
          <w:szCs w:val="32"/>
          <w:highlight w:val="none"/>
        </w:rPr>
        <w:t>八个一级指标</w:t>
      </w:r>
      <w:r>
        <w:rPr>
          <w:rFonts w:hint="default" w:ascii="仿宋_GB2312" w:hAnsi="仿宋_GB2312" w:eastAsia="仿宋_GB2312" w:cs="仿宋_GB2312"/>
          <w:color w:val="auto"/>
          <w:sz w:val="32"/>
          <w:szCs w:val="32"/>
          <w:highlight w:val="none"/>
        </w:rPr>
        <w:t>，复制或分销计算机软件许可费、电信服务、数字媒体等</w:t>
      </w:r>
      <w:r>
        <w:rPr>
          <w:rFonts w:hint="eastAsia" w:ascii="仿宋_GB2312" w:hAnsi="仿宋_GB2312" w:eastAsia="仿宋_GB2312" w:cs="仿宋_GB2312"/>
          <w:color w:val="auto"/>
          <w:sz w:val="32"/>
          <w:szCs w:val="32"/>
          <w:highlight w:val="none"/>
        </w:rPr>
        <w:t>113个细分统计类别。</w:t>
      </w:r>
    </w:p>
    <w:p>
      <w:pPr>
        <w:pStyle w:val="4"/>
        <w:keepNext w:val="0"/>
        <w:keepLines w:val="0"/>
        <w:pageBreakBefore w:val="0"/>
        <w:widowControl w:val="0"/>
        <w:kinsoku/>
        <w:wordWrap/>
        <w:overflowPunct/>
        <w:topLinePunct w:val="0"/>
        <w:autoSpaceDE/>
        <w:autoSpaceDN/>
        <w:bidi w:val="0"/>
        <w:adjustRightInd/>
        <w:snapToGrid/>
        <w:spacing w:after="0" w:afterLines="0" w:line="540" w:lineRule="exact"/>
        <w:ind w:firstLine="642" w:firstLineChars="200"/>
        <w:textAlignment w:val="auto"/>
        <w:rPr>
          <w:rFonts w:hint="default" w:ascii="仿宋_GB2312" w:hAnsi="仿宋_GB2312" w:eastAsia="仿宋_GB2312" w:cs="仿宋_GB2312"/>
          <w:b w:val="0"/>
          <w:bCs w:val="0"/>
          <w:color w:val="auto"/>
          <w:sz w:val="32"/>
          <w:szCs w:val="32"/>
          <w:highlight w:val="none"/>
          <w:lang w:eastAsia="zh-CN"/>
        </w:rPr>
      </w:pPr>
      <w:r>
        <w:rPr>
          <w:rFonts w:hint="default" w:ascii="仿宋_GB2312" w:hAnsi="仿宋_GB2312" w:eastAsia="仿宋_GB2312" w:cs="仿宋_GB2312"/>
          <w:b/>
          <w:bCs/>
          <w:color w:val="auto"/>
          <w:sz w:val="32"/>
          <w:szCs w:val="32"/>
          <w:highlight w:val="none"/>
        </w:rPr>
        <w:t>二是</w:t>
      </w:r>
      <w:r>
        <w:rPr>
          <w:rFonts w:hint="default" w:ascii="仿宋_GB2312" w:hAnsi="仿宋_GB2312" w:eastAsia="仿宋_GB2312" w:cs="仿宋_GB2312"/>
          <w:b w:val="0"/>
          <w:bCs w:val="0"/>
          <w:color w:val="auto"/>
          <w:sz w:val="32"/>
          <w:szCs w:val="32"/>
          <w:highlight w:val="none"/>
        </w:rPr>
        <w:t>完善统分</w:t>
      </w:r>
      <w:r>
        <w:rPr>
          <w:rFonts w:hint="eastAsia" w:ascii="仿宋_GB2312" w:hAnsi="仿宋_GB2312" w:eastAsia="仿宋_GB2312" w:cs="仿宋_GB2312"/>
          <w:b w:val="0"/>
          <w:bCs w:val="0"/>
          <w:color w:val="auto"/>
          <w:sz w:val="32"/>
          <w:szCs w:val="32"/>
          <w:highlight w:val="none"/>
          <w:lang w:eastAsia="zh-CN"/>
        </w:rPr>
        <w:t>结合</w:t>
      </w:r>
      <w:r>
        <w:rPr>
          <w:rFonts w:hint="default" w:ascii="仿宋_GB2312" w:hAnsi="仿宋_GB2312" w:eastAsia="仿宋_GB2312" w:cs="仿宋_GB2312"/>
          <w:b w:val="0"/>
          <w:bCs w:val="0"/>
          <w:color w:val="auto"/>
          <w:sz w:val="32"/>
          <w:szCs w:val="32"/>
          <w:highlight w:val="none"/>
        </w:rPr>
        <w:t>机制。</w:t>
      </w:r>
      <w:r>
        <w:rPr>
          <w:rFonts w:hint="eastAsia" w:ascii="仿宋_GB2312" w:hAnsi="仿宋_GB2312" w:eastAsia="仿宋_GB2312" w:cs="仿宋_GB2312"/>
          <w:b w:val="0"/>
          <w:bCs w:val="0"/>
          <w:color w:val="auto"/>
          <w:sz w:val="32"/>
          <w:szCs w:val="32"/>
          <w:highlight w:val="none"/>
          <w:lang w:val="en-US" w:eastAsia="zh-CN"/>
        </w:rPr>
        <w:t>加强跨领域、跨部门协同和市区联动，推动部门间服务贸易相关数据交换和信息共享。根据各区产业布局和发展特点，做好服务外包、技术贸易重点企业统计监测工作，扩大统计监测覆盖面和提升统计监测精准度。</w:t>
      </w:r>
      <w:r>
        <w:rPr>
          <w:rFonts w:hint="default" w:ascii="仿宋_GB2312" w:hAnsi="仿宋_GB2312" w:eastAsia="仿宋_GB2312" w:cs="仿宋_GB2312"/>
          <w:b w:val="0"/>
          <w:bCs w:val="0"/>
          <w:color w:val="auto"/>
          <w:sz w:val="32"/>
          <w:szCs w:val="32"/>
          <w:highlight w:val="none"/>
          <w:lang w:eastAsia="zh-CN"/>
        </w:rPr>
        <w:t>研究</w:t>
      </w:r>
      <w:r>
        <w:rPr>
          <w:rFonts w:hint="eastAsia" w:ascii="仿宋_GB2312" w:hAnsi="仿宋_GB2312" w:eastAsia="仿宋_GB2312" w:cs="仿宋_GB2312"/>
          <w:b w:val="0"/>
          <w:bCs w:val="0"/>
          <w:color w:val="auto"/>
          <w:sz w:val="32"/>
          <w:szCs w:val="32"/>
          <w:highlight w:val="none"/>
          <w:lang w:val="en-US" w:eastAsia="zh-CN"/>
        </w:rPr>
        <w:t>编制服务进出口企业景气指数，</w:t>
      </w:r>
      <w:r>
        <w:rPr>
          <w:rFonts w:hint="eastAsia" w:ascii="仿宋_GB2312" w:hAnsi="仿宋_GB2312" w:eastAsia="仿宋_GB2312" w:cs="仿宋_GB2312"/>
          <w:color w:val="000000"/>
          <w:kern w:val="2"/>
          <w:sz w:val="32"/>
          <w:szCs w:val="32"/>
          <w:highlight w:val="none"/>
          <w:lang w:eastAsia="zh-CN" w:bidi="ar"/>
        </w:rPr>
        <w:t>围绕运输服务、旅行服务、建筑服务、保险服务、金融服务、文化、电信、计算机和信息服务等领域筛选企业调查库</w:t>
      </w:r>
      <w:r>
        <w:rPr>
          <w:rFonts w:hint="default" w:ascii="仿宋_GB2312" w:hAnsi="仿宋_GB2312" w:eastAsia="仿宋_GB2312" w:cs="仿宋_GB2312"/>
          <w:color w:val="000000"/>
          <w:kern w:val="2"/>
          <w:sz w:val="32"/>
          <w:szCs w:val="32"/>
          <w:highlight w:val="none"/>
          <w:lang w:eastAsia="zh-CN" w:bidi="ar"/>
        </w:rPr>
        <w:t>，</w:t>
      </w:r>
      <w:r>
        <w:rPr>
          <w:rFonts w:hint="eastAsia" w:ascii="仿宋_GB2312" w:hAnsi="仿宋_GB2312" w:eastAsia="仿宋_GB2312" w:cs="仿宋_GB2312"/>
          <w:b w:val="0"/>
          <w:bCs w:val="0"/>
          <w:color w:val="auto"/>
          <w:sz w:val="32"/>
          <w:szCs w:val="32"/>
          <w:highlight w:val="none"/>
          <w:lang w:val="en-US" w:eastAsia="zh-CN"/>
        </w:rPr>
        <w:t>加强服务贸易运行监测预测预警</w:t>
      </w:r>
      <w:r>
        <w:rPr>
          <w:rFonts w:hint="eastAsia" w:ascii="仿宋_GB2312" w:hAnsi="仿宋_GB2312" w:eastAsia="仿宋_GB2312" w:cs="仿宋_GB2312"/>
          <w:color w:val="000000"/>
          <w:kern w:val="2"/>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default" w:ascii="仿宋_GB2312" w:hAnsi="仿宋_GB2312" w:eastAsia="仿宋_GB2312" w:cs="仿宋_GB2312"/>
          <w:b w:val="0"/>
          <w:bCs w:val="0"/>
          <w:color w:val="auto"/>
          <w:sz w:val="32"/>
          <w:szCs w:val="32"/>
          <w:highlight w:val="none"/>
          <w:lang w:eastAsia="zh-CN"/>
        </w:rPr>
      </w:pPr>
      <w:r>
        <w:rPr>
          <w:rFonts w:hint="default" w:ascii="仿宋_GB2312" w:hAnsi="仿宋_GB2312" w:eastAsia="仿宋_GB2312" w:cs="仿宋_GB2312"/>
          <w:b/>
          <w:bCs/>
          <w:color w:val="auto"/>
          <w:sz w:val="32"/>
          <w:szCs w:val="32"/>
          <w:highlight w:val="none"/>
          <w:lang w:eastAsia="zh-CN"/>
        </w:rPr>
        <w:t>三是</w:t>
      </w:r>
      <w:r>
        <w:rPr>
          <w:rFonts w:hint="default" w:ascii="仿宋_GB2312" w:hAnsi="仿宋_GB2312" w:eastAsia="仿宋_GB2312" w:cs="仿宋_GB2312"/>
          <w:b w:val="0"/>
          <w:bCs w:val="0"/>
          <w:color w:val="auto"/>
          <w:sz w:val="32"/>
          <w:szCs w:val="32"/>
          <w:highlight w:val="none"/>
          <w:lang w:eastAsia="zh-CN"/>
        </w:rPr>
        <w:t>积极应对贸易数字化趋势。稳步实施《深圳市推进数据跨境传输（出境）安全管理工作实施方案》，探索建立数据安全保护能力评估认证、数据流通备份审查、跨境数据流通和交易风险评估等数据安全管理相关机制。持续</w:t>
      </w:r>
      <w:r>
        <w:rPr>
          <w:rFonts w:hint="eastAsia" w:ascii="仿宋_GB2312" w:hAnsi="仿宋_GB2312" w:eastAsia="仿宋_GB2312" w:cs="仿宋_GB2312"/>
          <w:b w:val="0"/>
          <w:bCs w:val="0"/>
          <w:color w:val="auto"/>
          <w:sz w:val="32"/>
          <w:szCs w:val="32"/>
          <w:highlight w:val="none"/>
          <w:lang w:eastAsia="zh-CN"/>
        </w:rPr>
        <w:t>推进</w:t>
      </w:r>
      <w:r>
        <w:rPr>
          <w:rFonts w:hint="default" w:ascii="仿宋_GB2312" w:hAnsi="仿宋_GB2312" w:eastAsia="仿宋_GB2312" w:cs="仿宋_GB2312"/>
          <w:b w:val="0"/>
          <w:bCs w:val="0"/>
          <w:color w:val="auto"/>
          <w:sz w:val="32"/>
          <w:szCs w:val="32"/>
          <w:highlight w:val="none"/>
          <w:lang w:eastAsia="zh-CN"/>
        </w:rPr>
        <w:t>深圳数据跨境流动服务平台</w:t>
      </w:r>
      <w:r>
        <w:rPr>
          <w:rFonts w:hint="eastAsia" w:ascii="仿宋_GB2312" w:hAnsi="仿宋_GB2312" w:eastAsia="仿宋_GB2312" w:cs="仿宋_GB2312"/>
          <w:b w:val="0"/>
          <w:bCs w:val="0"/>
          <w:color w:val="auto"/>
          <w:sz w:val="32"/>
          <w:szCs w:val="32"/>
          <w:highlight w:val="none"/>
          <w:lang w:eastAsia="zh-CN"/>
        </w:rPr>
        <w:t>建设</w:t>
      </w:r>
      <w:r>
        <w:rPr>
          <w:rFonts w:hint="default" w:ascii="仿宋_GB2312" w:hAnsi="仿宋_GB2312" w:eastAsia="仿宋_GB2312" w:cs="仿宋_GB2312"/>
          <w:b w:val="0"/>
          <w:bCs w:val="0"/>
          <w:color w:val="auto"/>
          <w:sz w:val="32"/>
          <w:szCs w:val="32"/>
          <w:highlight w:val="none"/>
          <w:lang w:eastAsia="zh-CN"/>
        </w:rPr>
        <w:t>，面向全市提供个人信息出境标准合同备案、粤港澳大湾区个人信息跨境流动标准合同备案等数据跨境服务。开展数据跨境交易试点，汇集国际数据资源，推动深圳数据交易所研究推出需求明确、数据标准化程度高和交易可供复购的数据产品。</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default" w:ascii="仿宋_GB2312" w:hAnsi="仿宋_GB2312" w:eastAsia="仿宋_GB2312" w:cs="仿宋_GB2312"/>
          <w:b/>
          <w:bCs/>
          <w:color w:val="auto"/>
          <w:sz w:val="32"/>
          <w:szCs w:val="32"/>
        </w:rPr>
      </w:pPr>
      <w:r>
        <w:rPr>
          <w:rFonts w:hint="default" w:ascii="仿宋_GB2312" w:hAnsi="仿宋_GB2312" w:eastAsia="仿宋_GB2312" w:cs="仿宋_GB2312"/>
          <w:b/>
          <w:bCs/>
          <w:color w:val="auto"/>
          <w:sz w:val="32"/>
          <w:szCs w:val="32"/>
        </w:rPr>
        <w:t>四是</w:t>
      </w:r>
      <w:r>
        <w:rPr>
          <w:rFonts w:hint="default" w:ascii="仿宋_GB2312" w:hAnsi="仿宋_GB2312" w:eastAsia="仿宋_GB2312" w:cs="仿宋_GB2312"/>
          <w:b w:val="0"/>
          <w:bCs w:val="0"/>
          <w:color w:val="auto"/>
          <w:sz w:val="32"/>
          <w:szCs w:val="32"/>
        </w:rPr>
        <w:t>助推数字贸易新业态发展。持续实施</w:t>
      </w:r>
      <w:r>
        <w:rPr>
          <w:rFonts w:hint="eastAsia" w:ascii="仿宋_GB2312" w:eastAsia="仿宋_GB2312"/>
          <w:color w:val="000000"/>
          <w:sz w:val="32"/>
          <w:szCs w:val="44"/>
        </w:rPr>
        <w:t>《深圳市数字贸易高质量发展三年行动计划（2022-2024年）》</w:t>
      </w:r>
      <w:r>
        <w:rPr>
          <w:rFonts w:hint="default" w:ascii="仿宋_GB2312" w:eastAsia="仿宋_GB2312"/>
          <w:color w:val="000000"/>
          <w:sz w:val="32"/>
          <w:szCs w:val="44"/>
        </w:rPr>
        <w:t>。推进数字贸易新基建建设，</w:t>
      </w:r>
      <w:r>
        <w:rPr>
          <w:rFonts w:hint="eastAsia" w:ascii="仿宋_GB2312" w:hAnsi="仿宋_GB2312" w:eastAsia="仿宋_GB2312" w:cs="仿宋_GB2312"/>
          <w:b w:val="0"/>
          <w:bCs w:val="0"/>
          <w:color w:val="000000"/>
          <w:kern w:val="2"/>
          <w:sz w:val="32"/>
          <w:szCs w:val="32"/>
        </w:rPr>
        <w:t>加大信息基础设施建设投入，提升移动通信网络质量，推动5G网络建设，提升移动通信网络质量</w:t>
      </w:r>
      <w:r>
        <w:rPr>
          <w:rFonts w:hint="default" w:ascii="仿宋_GB2312" w:hAnsi="仿宋_GB2312" w:eastAsia="仿宋_GB2312" w:cs="仿宋_GB2312"/>
          <w:b w:val="0"/>
          <w:bCs w:val="0"/>
          <w:color w:val="000000"/>
          <w:kern w:val="2"/>
          <w:sz w:val="32"/>
          <w:szCs w:val="32"/>
        </w:rPr>
        <w:t>，推动深圳数据交易所做强做大。打造数字创意产业集群，推动腾讯科技、雅昌文化、绘王趋势科技、酷看文化传播等20家深圳企业获认定2023—2024年度国家文化出口重点企业，4个项目获认定2023—2024年度国家文化出口重点项目，入选重点企业和重点项目名单涵盖动漫游戏、高端印刷、文化信息服务等领域。</w:t>
      </w:r>
      <w:r>
        <w:rPr>
          <w:rFonts w:hint="default" w:ascii="仿宋_GB2312" w:hAnsi="仿宋_GB2312" w:eastAsia="仿宋_GB2312" w:cs="仿宋_GB2312"/>
          <w:color w:val="auto"/>
          <w:sz w:val="32"/>
          <w:szCs w:val="32"/>
          <w:lang w:eastAsia="zh-CN"/>
        </w:rPr>
        <w:t>推动深圳企业“</w:t>
      </w:r>
      <w:r>
        <w:rPr>
          <w:rFonts w:hint="eastAsia" w:ascii="仿宋_GB2312" w:hAnsi="仿宋_GB2312" w:eastAsia="仿宋_GB2312" w:cs="仿宋_GB2312"/>
          <w:color w:val="auto"/>
          <w:sz w:val="32"/>
          <w:szCs w:val="32"/>
          <w:lang w:val="en-US" w:eastAsia="zh-CN"/>
        </w:rPr>
        <w:t>法本信息技术</w:t>
      </w:r>
      <w:r>
        <w:rPr>
          <w:rFonts w:hint="default" w:ascii="仿宋_GB2312" w:hAnsi="仿宋_GB2312" w:eastAsia="仿宋_GB2312" w:cs="仿宋_GB2312"/>
          <w:color w:val="auto"/>
          <w:sz w:val="32"/>
          <w:szCs w:val="32"/>
          <w:lang w:eastAsia="zh-CN"/>
        </w:rPr>
        <w:t>”的“FarAI GPTCoder企业级AI编程助手”入选2024年广东省数字贸易优秀案例名单。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（四）关于“持续优化营商环境，吸引高水平外资金融机构集聚”的建议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default" w:ascii="仿宋_GB2312" w:hAnsi="仿宋_GB2312" w:eastAsia="仿宋_GB2312" w:cs="仿宋_GB2312"/>
          <w:sz w:val="32"/>
          <w:szCs w:val="32"/>
          <w:highlight w:val="none"/>
        </w:rPr>
      </w:pPr>
      <w:r>
        <w:rPr>
          <w:rFonts w:hint="default"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highlight w:val="none"/>
          <w:u w:val="none"/>
          <w:lang w:val="en-US" w:eastAsia="zh-CN"/>
        </w:rPr>
        <w:t>积极引进更多外资金融机构。</w:t>
      </w:r>
      <w:r>
        <w:rPr>
          <w:rFonts w:hint="eastAsia" w:ascii="仿宋_GB2312" w:hAnsi="仿宋_GB2312" w:eastAsia="仿宋_GB2312" w:cs="仿宋_GB2312"/>
          <w:sz w:val="32"/>
          <w:szCs w:val="32"/>
          <w:u w:val="none"/>
          <w:lang w:eastAsia="zh-CN"/>
        </w:rPr>
        <w:t>实施</w:t>
      </w:r>
      <w:r>
        <w:rPr>
          <w:rFonts w:hint="eastAsia" w:ascii="仿宋_GB2312" w:hAnsi="仿宋_GB2312" w:eastAsia="仿宋_GB2312" w:cs="仿宋_GB2312"/>
          <w:sz w:val="32"/>
          <w:szCs w:val="32"/>
          <w:highlight w:val="none"/>
        </w:rPr>
        <w:t>《深圳市支持金融企业发展的若干措施》</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在深圳落户的外资金融企业总部，给予配套租（购）房补贴等支持</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u w:val="none"/>
          <w:lang w:eastAsia="zh-CN"/>
        </w:rPr>
        <w:t>实施</w:t>
      </w:r>
      <w:r>
        <w:rPr>
          <w:rFonts w:hint="eastAsia" w:ascii="仿宋_GB2312" w:hAnsi="仿宋_GB2312" w:eastAsia="仿宋_GB2312" w:cs="仿宋_GB2312"/>
          <w:sz w:val="32"/>
          <w:szCs w:val="32"/>
          <w:highlight w:val="none"/>
        </w:rPr>
        <w:t>《关于促进深圳风投创投持续高质量发展的若干措施》，对于在深外资风投创投机构给予落户、投资发展、投早投小投科技等方面奖励。</w:t>
      </w:r>
      <w:r>
        <w:rPr>
          <w:rFonts w:hint="default" w:ascii="仿宋_GB2312" w:hAnsi="仿宋_GB2312" w:eastAsia="仿宋_GB2312" w:cs="仿宋_GB2312"/>
          <w:sz w:val="32"/>
          <w:szCs w:val="32"/>
          <w:highlight w:val="none"/>
        </w:rPr>
        <w:t>发布</w:t>
      </w:r>
      <w:r>
        <w:rPr>
          <w:rFonts w:hint="eastAsia" w:ascii="仿宋_GB2312" w:hAnsi="仿宋_GB2312" w:eastAsia="仿宋_GB2312" w:cs="仿宋_GB2312"/>
          <w:sz w:val="32"/>
          <w:szCs w:val="32"/>
          <w:highlight w:val="none"/>
        </w:rPr>
        <w:t>《关于加快建设深圳国际财富管理中心的意见》，推动打造创新能力强、开放水平高、生态环境优、服务质量好的国际财富管理中心，吸引更多财富管理机构落户深圳</w:t>
      </w:r>
      <w:r>
        <w:rPr>
          <w:rFonts w:hint="default"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eastAsia" w:ascii="仿宋_GB2312" w:hAnsi="仿宋_GB2312" w:eastAsia="仿宋_GB2312" w:cs="仿宋_GB2312"/>
          <w:sz w:val="32"/>
          <w:szCs w:val="32"/>
          <w:u w:val="none"/>
          <w:lang w:eastAsia="zh-CN"/>
        </w:rPr>
      </w:pPr>
      <w:r>
        <w:rPr>
          <w:rFonts w:hint="default" w:ascii="仿宋_GB2312" w:hAnsi="仿宋_GB2312" w:eastAsia="仿宋_GB2312" w:cs="仿宋_GB2312"/>
          <w:b/>
          <w:bCs/>
          <w:sz w:val="32"/>
          <w:szCs w:val="32"/>
          <w:u w:val="none"/>
          <w:lang w:eastAsia="zh-CN"/>
        </w:rPr>
        <w:t>二是</w:t>
      </w:r>
      <w:r>
        <w:rPr>
          <w:rFonts w:hint="default" w:ascii="仿宋_GB2312" w:hAnsi="仿宋_GB2312" w:eastAsia="仿宋_GB2312" w:cs="仿宋_GB2312"/>
          <w:b w:val="0"/>
          <w:bCs w:val="0"/>
          <w:sz w:val="32"/>
          <w:szCs w:val="32"/>
          <w:u w:val="none"/>
          <w:lang w:eastAsia="zh-CN"/>
        </w:rPr>
        <w:t>完善外资金融机构招商机制。</w:t>
      </w:r>
      <w:r>
        <w:rPr>
          <w:rFonts w:hint="default" w:ascii="仿宋_GB2312" w:hAnsi="仿宋_GB2312" w:eastAsia="仿宋_GB2312" w:cs="仿宋_GB2312"/>
          <w:sz w:val="32"/>
          <w:szCs w:val="32"/>
          <w:u w:val="none"/>
          <w:lang w:eastAsia="zh-CN"/>
        </w:rPr>
        <w:t>集合央地金融管理部门及各区建立</w:t>
      </w:r>
      <w:r>
        <w:rPr>
          <w:rFonts w:hint="eastAsia" w:ascii="仿宋_GB2312" w:hAnsi="仿宋_GB2312" w:eastAsia="仿宋_GB2312" w:cs="仿宋_GB2312"/>
          <w:sz w:val="32"/>
          <w:szCs w:val="32"/>
          <w:highlight w:val="none"/>
        </w:rPr>
        <w:t>“金融招商引资专项联动机制”</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充分发挥“大湾区金融30条”“前海金融30条”等政策优势，赴上海、北京、杭州、香港等地拜访及接待外资金融机构100余家次</w:t>
      </w:r>
      <w:r>
        <w:rPr>
          <w:rFonts w:hint="default" w:ascii="仿宋_GB2312" w:hAnsi="仿宋_GB2312" w:eastAsia="仿宋_GB2312" w:cs="仿宋_GB2312"/>
          <w:sz w:val="32"/>
          <w:szCs w:val="32"/>
          <w:highlight w:val="none"/>
        </w:rPr>
        <w:t>。制作外资金融招商地图，梳理重点外资金融机构招引清单，吸引优秀外资金融机构在深布局和发展。</w:t>
      </w:r>
      <w:r>
        <w:rPr>
          <w:rFonts w:hint="default" w:ascii="仿宋_GB2312" w:hAnsi="仿宋_GB2312" w:eastAsia="仿宋_GB2312" w:cs="仿宋_GB2312"/>
          <w:sz w:val="32"/>
          <w:szCs w:val="32"/>
          <w:u w:val="none"/>
          <w:lang w:eastAsia="zh-CN"/>
        </w:rPr>
        <w:t>现已集聚</w:t>
      </w:r>
      <w:r>
        <w:rPr>
          <w:rFonts w:hint="eastAsia" w:ascii="仿宋_GB2312" w:hAnsi="仿宋_GB2312" w:eastAsia="仿宋_GB2312" w:cs="仿宋_GB2312"/>
          <w:sz w:val="32"/>
          <w:szCs w:val="32"/>
          <w:u w:val="none"/>
          <w:lang w:eastAsia="zh-CN"/>
        </w:rPr>
        <w:t>39家外资银行营业性机构</w:t>
      </w:r>
      <w:r>
        <w:rPr>
          <w:rFonts w:hint="default"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eastAsia="zh-CN"/>
        </w:rPr>
        <w:t>24家外资保险公司</w:t>
      </w:r>
      <w:r>
        <w:rPr>
          <w:rFonts w:hint="default"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eastAsia="zh-CN"/>
        </w:rPr>
        <w:t>3家外资保险中介机构</w:t>
      </w:r>
      <w:r>
        <w:rPr>
          <w:rFonts w:hint="default"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eastAsia="zh-CN"/>
        </w:rPr>
        <w:t>1家合资货币经纪公司。</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textAlignment w:val="auto"/>
        <w:rPr>
          <w:rFonts w:hint="default" w:ascii="仿宋_GB2312" w:eastAsia="仿宋_GB2312"/>
          <w:sz w:val="32"/>
          <w:szCs w:val="32"/>
          <w:u w:val="none"/>
          <w:lang w:eastAsia="zh-CN"/>
        </w:rPr>
      </w:pPr>
      <w:r>
        <w:rPr>
          <w:rFonts w:hint="default" w:ascii="仿宋_GB2312" w:hAnsi="仿宋_GB2312" w:eastAsia="仿宋_GB2312" w:cs="仿宋_GB2312"/>
          <w:b/>
          <w:bCs/>
          <w:sz w:val="32"/>
          <w:szCs w:val="32"/>
          <w:u w:val="none"/>
          <w:lang w:eastAsia="zh-CN"/>
        </w:rPr>
        <w:t>三是</w:t>
      </w:r>
      <w:r>
        <w:rPr>
          <w:rFonts w:hint="eastAsia" w:ascii="仿宋_GB2312" w:hAnsi="仿宋_GB2312" w:eastAsia="仿宋_GB2312" w:cs="仿宋_GB2312"/>
          <w:b w:val="0"/>
          <w:bCs w:val="0"/>
          <w:sz w:val="32"/>
          <w:szCs w:val="32"/>
          <w:highlight w:val="none"/>
          <w:u w:val="none"/>
          <w:lang w:val="en-US" w:eastAsia="zh-CN"/>
        </w:rPr>
        <w:t>支持外资金融机构在深展业兴业</w:t>
      </w:r>
      <w:r>
        <w:rPr>
          <w:rFonts w:hint="default" w:ascii="仿宋_GB2312" w:hAnsi="仿宋_GB2312" w:eastAsia="仿宋_GB2312" w:cs="仿宋_GB2312"/>
          <w:b w:val="0"/>
          <w:bCs w:val="0"/>
          <w:sz w:val="32"/>
          <w:szCs w:val="32"/>
          <w:highlight w:val="none"/>
          <w:u w:val="none"/>
          <w:lang w:eastAsia="zh-CN"/>
        </w:rPr>
        <w:t>。</w:t>
      </w:r>
      <w:r>
        <w:rPr>
          <w:rFonts w:hint="eastAsia" w:ascii="仿宋_GB2312" w:hAnsi="仿宋_GB2312" w:eastAsia="仿宋_GB2312" w:cs="仿宋_GB2312"/>
          <w:b w:val="0"/>
          <w:bCs w:val="0"/>
          <w:sz w:val="32"/>
          <w:szCs w:val="32"/>
          <w:highlight w:val="none"/>
          <w:u w:val="none"/>
          <w:lang w:val="en-US" w:eastAsia="zh-CN"/>
        </w:rPr>
        <w:t>进一步优化准入服务，</w:t>
      </w:r>
      <w:r>
        <w:rPr>
          <w:rFonts w:hint="eastAsia" w:ascii="仿宋_GB2312" w:eastAsia="仿宋_GB2312" w:cs="Times New Roman"/>
          <w:b w:val="0"/>
          <w:bCs w:val="0"/>
          <w:sz w:val="32"/>
          <w:szCs w:val="32"/>
          <w:u w:val="none"/>
          <w:lang w:val="en-US" w:eastAsia="zh-CN"/>
        </w:rPr>
        <w:t>支持外资金融机构先行先试</w:t>
      </w:r>
      <w:r>
        <w:rPr>
          <w:rFonts w:hint="default" w:ascii="仿宋_GB2312" w:eastAsia="仿宋_GB2312"/>
          <w:b w:val="0"/>
          <w:bCs w:val="0"/>
          <w:sz w:val="32"/>
          <w:szCs w:val="32"/>
          <w:u w:val="none"/>
        </w:rPr>
        <w:t>，</w:t>
      </w:r>
      <w:r>
        <w:rPr>
          <w:rFonts w:hint="eastAsia" w:ascii="仿宋_GB2312" w:hAnsi="仿宋_GB2312" w:eastAsia="仿宋_GB2312" w:cs="仿宋_GB2312"/>
          <w:sz w:val="32"/>
          <w:szCs w:val="32"/>
          <w:u w:val="none"/>
          <w:lang w:eastAsia="zh-CN"/>
        </w:rPr>
        <w:t>9家在深外资银行纳入“跨境理财通”试点</w:t>
      </w:r>
      <w:r>
        <w:rPr>
          <w:rFonts w:hint="default" w:ascii="仿宋_GB2312" w:hAnsi="Calibri" w:eastAsia="仿宋_GB2312" w:cs="Times New Roman"/>
          <w:sz w:val="32"/>
          <w:szCs w:val="32"/>
          <w:u w:val="none"/>
          <w:lang w:eastAsia="zh-CN"/>
        </w:rPr>
        <w:t>；</w:t>
      </w:r>
      <w:r>
        <w:rPr>
          <w:rFonts w:hint="eastAsia" w:ascii="仿宋_GB2312" w:eastAsia="仿宋_GB2312" w:cs="Times New Roman"/>
          <w:sz w:val="32"/>
          <w:szCs w:val="32"/>
          <w:u w:val="none"/>
          <w:lang w:val="en-US" w:eastAsia="zh-CN"/>
        </w:rPr>
        <w:t>支持</w:t>
      </w:r>
      <w:r>
        <w:rPr>
          <w:rFonts w:hint="eastAsia" w:ascii="仿宋_GB2312" w:hAnsi="Calibri" w:eastAsia="仿宋_GB2312" w:cs="Times New Roman"/>
          <w:b w:val="0"/>
          <w:bCs w:val="0"/>
          <w:kern w:val="2"/>
          <w:sz w:val="32"/>
          <w:szCs w:val="32"/>
          <w:u w:val="none"/>
          <w:lang w:eastAsia="zh-CN"/>
        </w:rPr>
        <w:t>东亚银行（中国）深圳分行</w:t>
      </w:r>
      <w:r>
        <w:rPr>
          <w:rFonts w:hint="eastAsia" w:ascii="仿宋_GB2312" w:eastAsia="仿宋_GB2312"/>
          <w:sz w:val="32"/>
          <w:szCs w:val="32"/>
          <w:u w:val="none"/>
          <w:lang w:eastAsia="zh-CN"/>
        </w:rPr>
        <w:t>开展“代理见证开立内地个人银行结算账户”试点</w:t>
      </w:r>
      <w:r>
        <w:rPr>
          <w:rFonts w:hint="default" w:ascii="仿宋_GB2312" w:eastAsia="仿宋_GB2312"/>
          <w:sz w:val="32"/>
          <w:szCs w:val="32"/>
          <w:u w:val="none"/>
          <w:lang w:eastAsia="zh-CN"/>
        </w:rPr>
        <w:t>；</w:t>
      </w:r>
      <w:r>
        <w:rPr>
          <w:rFonts w:hint="eastAsia" w:ascii="仿宋_GB2312" w:eastAsia="仿宋_GB2312"/>
          <w:sz w:val="32"/>
          <w:szCs w:val="32"/>
          <w:u w:val="none"/>
          <w:lang w:eastAsia="zh-CN"/>
        </w:rPr>
        <w:t>汇丰银行（中国）深圳分行联动汇丰香港试点国内</w:t>
      </w:r>
      <w:r>
        <w:rPr>
          <w:rFonts w:hint="eastAsia" w:ascii="仿宋_GB2312" w:eastAsia="仿宋_GB2312"/>
          <w:sz w:val="32"/>
          <w:szCs w:val="32"/>
          <w:u w:val="none"/>
        </w:rPr>
        <w:t>首单人民币</w:t>
      </w:r>
      <w:r>
        <w:rPr>
          <w:rFonts w:hint="eastAsia" w:ascii="仿宋_GB2312" w:eastAsia="仿宋_GB2312"/>
          <w:sz w:val="32"/>
          <w:szCs w:val="32"/>
          <w:u w:val="none"/>
          <w:lang w:eastAsia="zh-CN"/>
        </w:rPr>
        <w:t>装运后买方贸易贷款跨境转出</w:t>
      </w:r>
      <w:r>
        <w:rPr>
          <w:rFonts w:hint="eastAsia" w:ascii="仿宋_GB2312" w:eastAsia="仿宋_GB2312"/>
          <w:sz w:val="32"/>
          <w:szCs w:val="32"/>
          <w:u w:val="none"/>
        </w:rPr>
        <w:t>业务</w:t>
      </w:r>
      <w:r>
        <w:rPr>
          <w:rFonts w:hint="eastAsia" w:ascii="仿宋_GB2312" w:eastAsia="仿宋_GB2312"/>
          <w:sz w:val="32"/>
          <w:szCs w:val="32"/>
          <w:u w:val="none"/>
          <w:lang w:eastAsia="zh-CN"/>
        </w:rPr>
        <w:t>。加强深港金融市场互联互通</w:t>
      </w:r>
      <w:r>
        <w:rPr>
          <w:rFonts w:hint="default" w:ascii="仿宋_GB2312" w:eastAsia="仿宋_GB2312"/>
          <w:sz w:val="32"/>
          <w:szCs w:val="32"/>
          <w:u w:val="none"/>
          <w:lang w:eastAsia="zh-CN"/>
        </w:rPr>
        <w:t>，</w:t>
      </w:r>
      <w:r>
        <w:rPr>
          <w:rFonts w:hint="eastAsia" w:ascii="仿宋_GB2312" w:eastAsia="仿宋_GB2312"/>
          <w:sz w:val="32"/>
          <w:szCs w:val="32"/>
          <w:u w:val="none"/>
          <w:lang w:eastAsia="zh-CN"/>
        </w:rPr>
        <w:t>鼓励深港保险机构联动开发跨境保险产品，累计备案8款跨境医疗险产品和59款大湾区专属重疾险产品</w:t>
      </w:r>
      <w:r>
        <w:rPr>
          <w:rFonts w:hint="default" w:ascii="仿宋_GB2312" w:eastAsia="仿宋_GB2312"/>
          <w:sz w:val="32"/>
          <w:szCs w:val="32"/>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（五）关于“完善金融风险防范机制，稳步有序推进金融对外开放”的建议</w:t>
      </w:r>
    </w:p>
    <w:p>
      <w:pPr>
        <w:pStyle w:val="3"/>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eastAsia" w:ascii="仿宋_GB2312" w:hAnsi="仿宋_GB2312" w:eastAsia="仿宋_GB2312" w:cs="仿宋_GB2312"/>
          <w:kern w:val="2"/>
          <w:sz w:val="32"/>
          <w:szCs w:val="32"/>
          <w:lang w:val="en-US" w:eastAsia="zh-CN"/>
        </w:rPr>
      </w:pPr>
      <w:r>
        <w:rPr>
          <w:rFonts w:hint="default" w:ascii="仿宋_GB2312" w:hAnsi="仿宋_GB2312" w:eastAsia="仿宋_GB2312" w:cs="仿宋_GB2312"/>
          <w:b/>
          <w:bCs/>
          <w:sz w:val="32"/>
          <w:szCs w:val="32"/>
          <w:highlight w:val="none"/>
        </w:rPr>
        <w:t>一是</w:t>
      </w:r>
      <w:r>
        <w:rPr>
          <w:rFonts w:hint="default" w:ascii="仿宋_GB2312" w:hAnsi="仿宋_GB2312" w:eastAsia="仿宋_GB2312" w:cs="仿宋_GB2312"/>
          <w:b w:val="0"/>
          <w:bCs w:val="0"/>
          <w:sz w:val="32"/>
          <w:szCs w:val="32"/>
          <w:highlight w:val="none"/>
        </w:rPr>
        <w:t>深化金融科技创新监管合作。依托中国人民银行金融科技创新监管工具与香港金融管理局金融科技监管沙盒、澳门金融管理局创新金融科技事项项目的监管要求</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kern w:val="2"/>
          <w:sz w:val="32"/>
          <w:szCs w:val="32"/>
          <w:lang w:val="en-US" w:eastAsia="zh-CN"/>
        </w:rPr>
        <w:t>依法合规持续深化金融科技创新交流合作，促进粤港澳数字金融发展</w:t>
      </w:r>
      <w:r>
        <w:rPr>
          <w:rFonts w:hint="eastAsia" w:ascii="仿宋_GB2312" w:hAnsi="仿宋_GB2312" w:eastAsia="仿宋_GB2312" w:cs="仿宋_GB2312"/>
          <w:sz w:val="32"/>
          <w:szCs w:val="32"/>
          <w:highlight w:val="none"/>
        </w:rPr>
        <w:t>，支持具有跨境特色的创新应用在前海合作区开展试点。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jc w:val="both"/>
        <w:textAlignment w:val="auto"/>
        <w:rPr>
          <w:rFonts w:hint="eastAsia" w:ascii="仿宋_GB2312" w:hAnsi="仿宋_GB2312" w:eastAsia="仿宋_GB2312" w:cs="Times New Roman"/>
          <w:kern w:val="2"/>
          <w:sz w:val="32"/>
          <w:szCs w:val="32"/>
          <w:lang w:val="en-US" w:eastAsia="zh-CN"/>
        </w:rPr>
      </w:pPr>
      <w:r>
        <w:rPr>
          <w:rFonts w:hint="default" w:ascii="仿宋_GB2312" w:hAnsi="仿宋_GB2312" w:eastAsia="仿宋_GB2312" w:cs="仿宋_GB2312"/>
          <w:b/>
          <w:bCs/>
          <w:kern w:val="2"/>
          <w:sz w:val="32"/>
          <w:szCs w:val="32"/>
          <w:lang w:eastAsia="zh-CN"/>
        </w:rPr>
        <w:t>二是</w:t>
      </w:r>
      <w:r>
        <w:rPr>
          <w:rFonts w:hint="eastAsia" w:ascii="仿宋_GB2312" w:eastAsia="仿宋_GB2312"/>
          <w:b w:val="0"/>
          <w:bCs w:val="0"/>
          <w:sz w:val="32"/>
          <w:szCs w:val="32"/>
          <w:lang w:eastAsia="zh-CN"/>
        </w:rPr>
        <w:t>加强深港</w:t>
      </w:r>
      <w:r>
        <w:rPr>
          <w:rFonts w:hint="default" w:ascii="仿宋_GB2312" w:eastAsia="仿宋_GB2312"/>
          <w:b w:val="0"/>
          <w:bCs w:val="0"/>
          <w:sz w:val="32"/>
          <w:szCs w:val="32"/>
          <w:lang w:eastAsia="zh-CN"/>
        </w:rPr>
        <w:t>澳</w:t>
      </w:r>
      <w:r>
        <w:rPr>
          <w:rFonts w:hint="eastAsia" w:ascii="仿宋_GB2312" w:eastAsia="仿宋_GB2312"/>
          <w:b w:val="0"/>
          <w:bCs w:val="0"/>
          <w:sz w:val="32"/>
          <w:szCs w:val="32"/>
          <w:lang w:eastAsia="zh-CN"/>
        </w:rPr>
        <w:t>金融市场互联互通</w:t>
      </w:r>
      <w:r>
        <w:rPr>
          <w:rFonts w:hint="eastAsia" w:ascii="仿宋_GB2312" w:eastAsia="仿宋_GB2312"/>
          <w:b w:val="0"/>
          <w:bCs w:val="0"/>
          <w:sz w:val="32"/>
          <w:szCs w:val="32"/>
        </w:rPr>
        <w:t>。</w:t>
      </w:r>
      <w:r>
        <w:rPr>
          <w:rFonts w:hint="default" w:ascii="仿宋_GB2312" w:hAnsi="Calibri" w:eastAsia="仿宋_GB2312" w:cs="Times New Roman"/>
          <w:sz w:val="32"/>
          <w:szCs w:val="32"/>
          <w:u w:val="none"/>
          <w:lang w:eastAsia="zh-CN"/>
        </w:rPr>
        <w:t>举办</w:t>
      </w:r>
      <w:r>
        <w:rPr>
          <w:rFonts w:hint="eastAsia" w:ascii="仿宋_GB2312" w:hAnsi="Calibri" w:eastAsia="仿宋_GB2312" w:cs="Times New Roman"/>
          <w:sz w:val="32"/>
          <w:szCs w:val="32"/>
          <w:u w:val="none"/>
          <w:lang w:val="en-US" w:eastAsia="zh-CN"/>
        </w:rPr>
        <w:t>第二十三届粤港澳深四地保险监管联席会议，在深化四地保险市场互联互通、加强消费者保护和宣教、建立四地保险监管常态化交流机制等方面达成多项共识。建立粤港澳深保险消费纠纷调解合作机制，形成《粤港澳深地区联合开展保险纠纷调解工作合作备忘录》，共同维护四地金融消费者合法权益。</w:t>
      </w:r>
      <w:r>
        <w:rPr>
          <w:rFonts w:hint="eastAsia" w:ascii="仿宋_GB2312" w:hAnsi="仿宋_GB2312" w:eastAsia="仿宋_GB2312" w:cs="Times New Roman"/>
          <w:kern w:val="2"/>
          <w:sz w:val="32"/>
          <w:szCs w:val="32"/>
          <w:lang w:val="en-US" w:eastAsia="zh-CN"/>
        </w:rPr>
        <w:t>推动微信香港钱包互联互通业务</w:t>
      </w:r>
      <w:r>
        <w:rPr>
          <w:rFonts w:hint="default" w:ascii="仿宋_GB2312" w:hAnsi="仿宋_GB2312" w:eastAsia="仿宋_GB2312" w:cs="Times New Roman"/>
          <w:kern w:val="2"/>
          <w:sz w:val="32"/>
          <w:szCs w:val="32"/>
          <w:lang w:eastAsia="zh-CN"/>
        </w:rPr>
        <w:t>，</w:t>
      </w:r>
      <w:r>
        <w:rPr>
          <w:rFonts w:hint="eastAsia" w:ascii="仿宋_GB2312" w:hAnsi="仿宋_GB2312" w:eastAsia="仿宋_GB2312" w:cs="Times New Roman"/>
          <w:kern w:val="2"/>
          <w:sz w:val="32"/>
          <w:szCs w:val="32"/>
          <w:lang w:val="en-US" w:eastAsia="zh-CN"/>
        </w:rPr>
        <w:t>支持港币付款、内地商户收款人民币等业务场景，满足香港居民在内地购买商品、服务的移动支付需求。截至2024年8月末，微信香港钱包累计惠及香港用户超132.2万人，交易金额超67.9亿元。</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2" w:firstLineChars="200"/>
        <w:jc w:val="both"/>
        <w:textAlignment w:val="auto"/>
        <w:rPr>
          <w:rFonts w:hint="eastAsia" w:ascii="仿宋_GB2312" w:hAnsi="仿宋_GB2312" w:eastAsia="仿宋_GB2312" w:cs="Times New Roman"/>
          <w:kern w:val="2"/>
          <w:sz w:val="32"/>
          <w:szCs w:val="32"/>
          <w:lang w:val="en-US" w:eastAsia="zh-CN"/>
        </w:rPr>
      </w:pPr>
      <w:r>
        <w:rPr>
          <w:rFonts w:hint="default" w:ascii="仿宋_GB2312" w:hAnsi="Calibri" w:eastAsia="仿宋_GB2312" w:cs="Times New Roman"/>
          <w:b/>
          <w:bCs/>
          <w:sz w:val="32"/>
          <w:szCs w:val="32"/>
          <w:u w:val="none"/>
          <w:lang w:eastAsia="zh-CN"/>
        </w:rPr>
        <w:t>三是</w:t>
      </w:r>
      <w:r>
        <w:rPr>
          <w:rFonts w:hint="default" w:ascii="仿宋_GB2312" w:eastAsia="仿宋_GB2312" w:cs="Times New Roman"/>
          <w:b w:val="0"/>
          <w:bCs w:val="0"/>
          <w:sz w:val="32"/>
          <w:szCs w:val="32"/>
          <w:u w:val="none"/>
          <w:lang w:eastAsia="zh-CN"/>
        </w:rPr>
        <w:t>完善金融风险防范化解机制。</w:t>
      </w:r>
      <w:r>
        <w:rPr>
          <w:rFonts w:hint="eastAsia" w:ascii="仿宋_GB2312" w:hAnsi="仿宋_GB2312" w:eastAsia="仿宋_GB2312" w:cs="Times New Roman"/>
          <w:kern w:val="2"/>
          <w:sz w:val="32"/>
          <w:szCs w:val="32"/>
          <w:lang w:val="en-US" w:eastAsia="zh-CN"/>
        </w:rPr>
        <w:t>持续构建立体化多维度金融风险防控体系，将金融风险监测对象扩展至信托公司、财务公司、消费金融公司、金融租赁公司、保险资管公司、再保险公司和信托公司，实现辖内持牌金融机构风险监测全覆盖。不断加强监管协同，凝聚风险防控合力，前移风险防控关口，通过风险会商，有效整合剖析各级风险信息。靶向化解中小金融机构风险和企业集团风险，坚守不发生系统性金融风险的底线。</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CESI黑体-GB2312" w:hAnsi="CESI黑体-GB2312" w:eastAsia="CESI黑体-GB2312" w:cs="CESI黑体-GB2312"/>
          <w:b w:val="0"/>
          <w:bCs/>
          <w:kern w:val="2"/>
          <w:sz w:val="32"/>
          <w:szCs w:val="32"/>
          <w:lang w:eastAsia="zh-CN"/>
        </w:rPr>
      </w:pPr>
      <w:r>
        <w:rPr>
          <w:rFonts w:hint="eastAsia" w:ascii="CESI黑体-GB2312" w:hAnsi="CESI黑体-GB2312" w:eastAsia="CESI黑体-GB2312" w:cs="CESI黑体-GB2312"/>
          <w:b w:val="0"/>
          <w:bCs/>
          <w:kern w:val="2"/>
          <w:sz w:val="32"/>
          <w:szCs w:val="32"/>
          <w:lang w:eastAsia="zh-CN"/>
        </w:rPr>
        <w:t>二、下一步工作方向</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default" w:ascii="仿宋_GB2312" w:hAnsi="仿宋_GB2312" w:eastAsia="仿宋_GB2312" w:cs="Times New Roman"/>
          <w:kern w:val="2"/>
          <w:sz w:val="32"/>
          <w:szCs w:val="32"/>
          <w:lang w:eastAsia="zh-CN"/>
        </w:rPr>
        <w:t>围绕党的二十届三中全会精神，按照市委七届九次全会部署，坚持以开放促改革，加快建设更高水平开放型经济新体制。</w:t>
      </w:r>
      <w:r>
        <w:rPr>
          <w:rFonts w:hint="default" w:ascii="仿宋_GB2312" w:hAnsi="仿宋_GB2312" w:eastAsia="仿宋_GB2312" w:cs="Times New Roman"/>
          <w:b/>
          <w:bCs/>
          <w:kern w:val="2"/>
          <w:sz w:val="32"/>
          <w:szCs w:val="32"/>
          <w:lang w:eastAsia="zh-CN"/>
        </w:rPr>
        <w:t>一是</w:t>
      </w:r>
      <w:r>
        <w:rPr>
          <w:rFonts w:hint="default" w:ascii="仿宋_GB2312" w:hAnsi="仿宋_GB2312" w:eastAsia="仿宋_GB2312" w:cs="Times New Roman"/>
          <w:b w:val="0"/>
          <w:bCs w:val="0"/>
          <w:kern w:val="2"/>
          <w:sz w:val="32"/>
          <w:szCs w:val="32"/>
          <w:lang w:eastAsia="zh-CN"/>
        </w:rPr>
        <w:t>更大力度吸引和利用外资。全面落实国家外资准入政策措施，不断</w:t>
      </w:r>
      <w:r>
        <w:rPr>
          <w:rFonts w:hint="default" w:ascii="仿宋_GB2312" w:hAnsi="仿宋_GB2312" w:eastAsia="仿宋_GB2312" w:cs="仿宋_GB2312"/>
          <w:b w:val="0"/>
          <w:bCs w:val="0"/>
          <w:kern w:val="2"/>
          <w:sz w:val="32"/>
          <w:szCs w:val="32"/>
          <w:highlight w:val="none"/>
          <w:lang w:eastAsia="zh-CN"/>
        </w:rPr>
        <w:t>深化外商投资促进体制机制改革，健全外资线索发现、对接、洽谈、引进全链条工作机制，打造“投资深圳”品牌。持续优化外资来源地结构，鼓励外商投资先进制造、高新技术、节能环保等重点领域，推动电信、互联网、教育、文化、医疗等领域有序扩大开放。</w:t>
      </w:r>
      <w:r>
        <w:rPr>
          <w:rFonts w:hint="default" w:ascii="仿宋_GB2312" w:hAnsi="仿宋_GB2312" w:eastAsia="仿宋_GB2312" w:cs="仿宋_GB2312"/>
          <w:b/>
          <w:bCs/>
          <w:kern w:val="2"/>
          <w:sz w:val="32"/>
          <w:szCs w:val="32"/>
          <w:highlight w:val="none"/>
          <w:lang w:eastAsia="zh-CN"/>
        </w:rPr>
        <w:t>二是</w:t>
      </w:r>
      <w:r>
        <w:rPr>
          <w:rFonts w:hint="default" w:ascii="仿宋_GB2312" w:hAnsi="仿宋_GB2312" w:eastAsia="仿宋_GB2312" w:cs="仿宋_GB2312"/>
          <w:b w:val="0"/>
          <w:bCs w:val="0"/>
          <w:kern w:val="2"/>
          <w:sz w:val="32"/>
          <w:szCs w:val="32"/>
          <w:highlight w:val="none"/>
          <w:lang w:eastAsia="zh-CN"/>
        </w:rPr>
        <w:t>加快发展服务贸易。创新提升服务贸易工作机制，完善跨境服务贸易负面清单政策体系。</w:t>
      </w:r>
      <w:r>
        <w:rPr>
          <w:rFonts w:hint="eastAsia" w:ascii="仿宋_GB2312" w:hAnsi="仿宋_GB2312" w:eastAsia="仿宋_GB2312" w:cs="仿宋_GB2312"/>
          <w:b w:val="0"/>
          <w:bCs w:val="0"/>
          <w:sz w:val="32"/>
          <w:szCs w:val="32"/>
          <w:highlight w:val="none"/>
          <w:lang w:val="en-US" w:eastAsia="zh-CN" w:bidi="ar"/>
        </w:rPr>
        <w:t>加快发展平台分包、云外包、众包等服务外包新模式新业态，推动服务外包产业向高技术、高附加值、高品质、高效益转型升级</w:t>
      </w:r>
      <w:r>
        <w:rPr>
          <w:rFonts w:hint="default" w:ascii="仿宋_GB2312" w:hAnsi="仿宋_GB2312" w:eastAsia="仿宋_GB2312" w:cs="仿宋_GB2312"/>
          <w:b w:val="0"/>
          <w:bCs w:val="0"/>
          <w:sz w:val="32"/>
          <w:szCs w:val="32"/>
          <w:highlight w:val="none"/>
          <w:lang w:eastAsia="zh-CN" w:bidi="ar"/>
        </w:rPr>
        <w:t>。</w:t>
      </w:r>
      <w:r>
        <w:rPr>
          <w:rFonts w:hint="default" w:ascii="仿宋_GB2312" w:hAnsi="仿宋_GB2312" w:eastAsia="仿宋_GB2312" w:cs="仿宋_GB2312"/>
          <w:b/>
          <w:bCs/>
          <w:kern w:val="2"/>
          <w:sz w:val="32"/>
          <w:szCs w:val="32"/>
          <w:highlight w:val="none"/>
          <w:lang w:eastAsia="zh-CN"/>
        </w:rPr>
        <w:t>三是</w:t>
      </w:r>
      <w:r>
        <w:rPr>
          <w:rFonts w:hint="default" w:ascii="仿宋_GB2312" w:hAnsi="仿宋_GB2312" w:eastAsia="仿宋_GB2312" w:cs="仿宋_GB2312"/>
          <w:b w:val="0"/>
          <w:bCs w:val="0"/>
          <w:kern w:val="2"/>
          <w:sz w:val="32"/>
          <w:szCs w:val="32"/>
          <w:highlight w:val="none"/>
          <w:lang w:eastAsia="zh-CN"/>
        </w:rPr>
        <w:t>创新发展数字贸易。</w:t>
      </w:r>
      <w:r>
        <w:rPr>
          <w:rFonts w:hint="eastAsia" w:ascii="仿宋_GB2312" w:hAnsi="仿宋_GB2312" w:eastAsia="仿宋_GB2312" w:cs="仿宋_GB2312"/>
          <w:sz w:val="32"/>
          <w:szCs w:val="32"/>
          <w:highlight w:val="none"/>
          <w:lang w:val="en-US" w:eastAsia="zh-CN" w:bidi="ar"/>
        </w:rPr>
        <w:t>支持电信、计算机和信息、数字娱乐等本土数字贸易优势领域龙头型、平台型</w:t>
      </w:r>
      <w:r>
        <w:rPr>
          <w:rFonts w:hint="eastAsia" w:ascii="仿宋_GB2312" w:hAnsi="仿宋_GB2312" w:eastAsia="仿宋_GB2312" w:cs="仿宋_GB2312"/>
          <w:b w:val="0"/>
          <w:bCs w:val="0"/>
          <w:sz w:val="32"/>
          <w:szCs w:val="32"/>
          <w:highlight w:val="none"/>
          <w:lang w:val="en-US" w:eastAsia="zh-CN" w:bidi="ar"/>
        </w:rPr>
        <w:t>企业出海。</w:t>
      </w:r>
      <w:r>
        <w:rPr>
          <w:rFonts w:hint="eastAsia" w:ascii="仿宋_GB2312" w:hAnsi="仿宋_GB2312" w:eastAsia="仿宋_GB2312" w:cs="仿宋_GB2312"/>
          <w:sz w:val="32"/>
          <w:szCs w:val="32"/>
          <w:highlight w:val="none"/>
          <w:lang w:val="en-US" w:eastAsia="zh-CN"/>
        </w:rPr>
        <w:t>聚焦</w:t>
      </w:r>
      <w:r>
        <w:rPr>
          <w:rFonts w:hint="eastAsia" w:ascii="仿宋_GB2312" w:hAnsi="仿宋_GB2312" w:eastAsia="仿宋_GB2312" w:cs="仿宋_GB2312"/>
          <w:sz w:val="32"/>
          <w:szCs w:val="32"/>
          <w:highlight w:val="none"/>
        </w:rPr>
        <w:t>软件与信息服务、人工智能、区块链、大数据、云计算等</w:t>
      </w:r>
      <w:r>
        <w:rPr>
          <w:rFonts w:hint="eastAsia" w:ascii="仿宋_GB2312" w:hAnsi="仿宋_GB2312" w:eastAsia="仿宋_GB2312" w:cs="仿宋_GB2312"/>
          <w:sz w:val="32"/>
          <w:szCs w:val="32"/>
          <w:highlight w:val="none"/>
          <w:lang w:val="en-US" w:eastAsia="zh-CN"/>
        </w:rPr>
        <w:t>重点领域，</w:t>
      </w:r>
      <w:r>
        <w:rPr>
          <w:rFonts w:hint="eastAsia" w:ascii="仿宋_GB2312" w:hAnsi="仿宋_GB2312" w:eastAsia="仿宋_GB2312" w:cs="仿宋_GB2312"/>
          <w:b w:val="0"/>
          <w:bCs w:val="0"/>
          <w:sz w:val="32"/>
          <w:szCs w:val="32"/>
          <w:highlight w:val="none"/>
        </w:rPr>
        <w:t>加快培育</w:t>
      </w:r>
      <w:r>
        <w:rPr>
          <w:rFonts w:hint="eastAsia" w:ascii="仿宋_GB2312" w:hAnsi="仿宋_GB2312" w:eastAsia="仿宋_GB2312" w:cs="仿宋_GB2312"/>
          <w:b w:val="0"/>
          <w:bCs w:val="0"/>
          <w:sz w:val="32"/>
          <w:szCs w:val="32"/>
          <w:highlight w:val="none"/>
          <w:lang w:eastAsia="zh-CN"/>
        </w:rPr>
        <w:t>和引进</w:t>
      </w:r>
      <w:r>
        <w:rPr>
          <w:rFonts w:hint="eastAsia" w:ascii="仿宋_GB2312" w:hAnsi="仿宋_GB2312" w:eastAsia="仿宋_GB2312" w:cs="仿宋_GB2312"/>
          <w:b w:val="0"/>
          <w:bCs w:val="0"/>
          <w:sz w:val="32"/>
          <w:szCs w:val="32"/>
          <w:highlight w:val="none"/>
        </w:rPr>
        <w:t>具备创新驱动和资源配置能力的数字贸易龙头企业</w:t>
      </w:r>
      <w:r>
        <w:rPr>
          <w:rFonts w:hint="eastAsia"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rPr>
        <w:t>完善数字产品贸易、数字服务贸易、数字技术贸易、数据贸易等发展机制，加快贸易全链条数字化赋能。</w:t>
      </w:r>
      <w:r>
        <w:rPr>
          <w:rFonts w:hint="default" w:ascii="仿宋_GB2312" w:hAnsi="仿宋_GB2312" w:eastAsia="仿宋_GB2312" w:cs="仿宋_GB2312"/>
          <w:b/>
          <w:bCs/>
          <w:sz w:val="32"/>
          <w:szCs w:val="32"/>
          <w:highlight w:val="none"/>
        </w:rPr>
        <w:t>四是</w:t>
      </w:r>
      <w:r>
        <w:rPr>
          <w:rFonts w:hint="default" w:ascii="仿宋_GB2312" w:hAnsi="仿宋_GB2312" w:eastAsia="仿宋_GB2312" w:cs="仿宋_GB2312"/>
          <w:sz w:val="32"/>
          <w:szCs w:val="32"/>
          <w:highlight w:val="none"/>
        </w:rPr>
        <w:t>做好深圳金融五篇大文章，积极发展科技金融、绿色金融、普惠金融、养老金融、数字金融，服务实体经济高质量发展。</w:t>
      </w:r>
      <w:r>
        <w:rPr>
          <w:rFonts w:hint="eastAsia" w:ascii="仿宋_GB2312" w:hAnsi="仿宋_GB2312" w:eastAsia="仿宋_GB2312" w:cs="仿宋_GB2312"/>
          <w:sz w:val="32"/>
          <w:szCs w:val="32"/>
          <w:highlight w:val="none"/>
          <w:lang w:eastAsia="zh-CN"/>
        </w:rPr>
        <w:t>积极推动多边央行数字货币桥支持跨境贸易、跨境支付等业务场景在数字落地试点推广。</w:t>
      </w:r>
    </w:p>
    <w:p>
      <w:pPr>
        <w:spacing w:line="540" w:lineRule="exact"/>
        <w:ind w:firstLine="640" w:firstLineChars="200"/>
        <w:rPr>
          <w:rFonts w:hint="eastAsia"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rPr>
        <w:t>感谢市政协经济委对推动深圳加快建设更高水平开放型经济新体制的意见建议</w:t>
      </w:r>
      <w:r>
        <w:rPr>
          <w:rFonts w:hint="eastAsia" w:ascii="仿宋_GB2312" w:hAnsi="仿宋_GB2312" w:eastAsia="仿宋_GB2312" w:cs="仿宋_GB2312"/>
          <w:sz w:val="32"/>
          <w:szCs w:val="32"/>
          <w:highlight w:val="none"/>
          <w:lang w:eastAsia="zh-CN"/>
        </w:rPr>
        <w:t>。</w:t>
      </w:r>
    </w:p>
    <w:p>
      <w:pPr>
        <w:spacing w:line="540" w:lineRule="exact"/>
        <w:ind w:firstLine="640" w:firstLineChars="200"/>
        <w:rPr>
          <w:rFonts w:hint="eastAsia" w:ascii="仿宋_GB2312" w:hAnsi="仿宋_GB2312" w:eastAsia="仿宋_GB2312" w:cs="仿宋_GB2312"/>
          <w:sz w:val="32"/>
          <w:szCs w:val="32"/>
          <w:highlight w:val="none"/>
          <w:lang w:eastAsia="zh-CN"/>
        </w:rPr>
      </w:pPr>
    </w:p>
    <w:p>
      <w:pPr>
        <w:spacing w:line="540" w:lineRule="exact"/>
        <w:ind w:firstLine="640" w:firstLineChars="200"/>
        <w:rPr>
          <w:rFonts w:hint="eastAsia" w:ascii="仿宋_GB2312" w:hAnsi="仿宋_GB2312" w:eastAsia="仿宋_GB2312" w:cs="仿宋_GB2312"/>
          <w:sz w:val="32"/>
          <w:szCs w:val="32"/>
          <w:highlight w:val="none"/>
          <w:lang w:eastAsia="zh-CN"/>
        </w:rPr>
      </w:pPr>
    </w:p>
    <w:p>
      <w:pPr>
        <w:spacing w:line="540" w:lineRule="exact"/>
        <w:ind w:firstLine="640" w:firstLineChars="200"/>
        <w:rPr>
          <w:rFonts w:hint="default"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lang w:eastAsia="zh-CN"/>
        </w:rPr>
        <w:t xml:space="preserve">                                深圳市商务局</w:t>
      </w:r>
    </w:p>
    <w:p>
      <w:pPr>
        <w:spacing w:line="540" w:lineRule="exact"/>
        <w:ind w:firstLine="640" w:firstLineChars="200"/>
        <w:rPr>
          <w:rFonts w:hint="eastAsia"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lang w:eastAsia="zh-CN"/>
        </w:rPr>
        <w:t xml:space="preserve">                              </w:t>
      </w:r>
      <w:r>
        <w:rPr>
          <w:rFonts w:hint="eastAsia" w:ascii="仿宋_GB2312" w:hAnsi="仿宋_GB2312" w:eastAsia="仿宋_GB2312" w:cs="仿宋_GB2312"/>
          <w:sz w:val="32"/>
          <w:szCs w:val="32"/>
          <w:highlight w:val="none"/>
          <w:lang w:eastAsia="zh-CN"/>
        </w:rPr>
        <w:t>2024年10月17日</w:t>
      </w:r>
    </w:p>
    <w:p>
      <w:pPr>
        <w:spacing w:line="540" w:lineRule="exact"/>
        <w:ind w:firstLine="640" w:firstLineChars="200"/>
        <w:rPr>
          <w:rFonts w:hint="eastAsia" w:ascii="仿宋_GB2312" w:hAnsi="仿宋_GB2312" w:eastAsia="仿宋_GB2312" w:cs="仿宋_GB2312"/>
          <w:sz w:val="32"/>
          <w:szCs w:val="32"/>
          <w:highlight w:val="none"/>
          <w:lang w:eastAsia="zh-CN"/>
        </w:rPr>
      </w:pPr>
    </w:p>
    <w:p>
      <w:pPr>
        <w:spacing w:line="560" w:lineRule="exact"/>
        <w:ind w:firstLine="640" w:firstLineChars="200"/>
        <w:rPr>
          <w:rFonts w:hint="default" w:ascii="仿宋_GB2312" w:hAnsi="仿宋_GB2312" w:eastAsia="仿宋_GB2312" w:cs="仿宋_GB2312"/>
          <w:sz w:val="32"/>
          <w:szCs w:val="32"/>
          <w:highlight w:val="none"/>
          <w:lang w:eastAsia="zh-CN"/>
        </w:rPr>
      </w:pPr>
      <w:bookmarkStart w:id="1" w:name="_GoBack"/>
      <w:bookmarkEnd w:id="1"/>
    </w:p>
    <w:p>
      <w:pPr>
        <w:spacing w:line="560" w:lineRule="exact"/>
        <w:ind w:firstLine="640" w:firstLineChars="200"/>
        <w:rPr>
          <w:rFonts w:hint="default" w:ascii="仿宋_GB2312" w:hAnsi="仿宋_GB2312" w:eastAsia="仿宋_GB2312" w:cs="仿宋_GB2312"/>
          <w:sz w:val="32"/>
          <w:szCs w:val="32"/>
          <w:highlight w:val="none"/>
          <w:lang w:eastAsia="zh-CN"/>
        </w:rPr>
      </w:pPr>
    </w:p>
    <w:p>
      <w:pPr>
        <w:spacing w:line="560" w:lineRule="exact"/>
        <w:ind w:firstLine="640" w:firstLineChars="200"/>
        <w:rPr>
          <w:rFonts w:hint="default"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lang w:eastAsia="zh-CN"/>
        </w:rPr>
        <w:t>公开类型：依申请公开</w:t>
      </w:r>
    </w:p>
    <w:p>
      <w:pPr>
        <w:spacing w:line="560" w:lineRule="exact"/>
        <w:ind w:firstLine="640" w:firstLineChars="200"/>
        <w:rPr>
          <w:rFonts w:hint="default"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lang w:eastAsia="zh-CN"/>
        </w:rPr>
        <w:t>抄送：市政协提案委</w:t>
      </w:r>
      <w:r>
        <w:rPr>
          <w:rFonts w:hint="eastAsia" w:ascii="仿宋_GB2312" w:hAnsi="仿宋_GB2312" w:eastAsia="仿宋_GB2312" w:cs="仿宋_GB2312"/>
          <w:sz w:val="32"/>
          <w:szCs w:val="32"/>
          <w:highlight w:val="none"/>
          <w:lang w:eastAsia="zh-CN"/>
        </w:rPr>
        <w:t>。</w:t>
      </w:r>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ESI黑体-GB2312">
    <w:panose1 w:val="02000500000000000000"/>
    <w:charset w:val="86"/>
    <w:family w:val="auto"/>
    <w:pitch w:val="default"/>
    <w:sig w:usb0="800002BF" w:usb1="184F6CF8" w:usb2="00000012" w:usb3="00000000" w:csb0="0004000F" w:csb1="00000000"/>
  </w:font>
  <w:font w:name="楷体_GB2312">
    <w:panose1 w:val="02010609030101010101"/>
    <w:charset w:val="86"/>
    <w:family w:val="auto"/>
    <w:pitch w:val="default"/>
    <w:sig w:usb0="00000001" w:usb1="080E0000" w:usb2="00000000" w:usb3="00000000" w:csb0="00040000" w:csb1="00000000"/>
  </w:font>
  <w:font w:name="等线">
    <w:altName w:val="华文仿宋"/>
    <w:panose1 w:val="02010600030101010101"/>
    <w:charset w:val="00"/>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isplayBackgroundShape w:val="1"/>
  <w:bordersDoNotSurroundHeader w:val="0"/>
  <w:bordersDoNotSurroundFooter w:val="0"/>
  <w:revisionView w:markup="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FB9A1E"/>
    <w:rsid w:val="3B7EA68C"/>
    <w:rsid w:val="3DBED85E"/>
    <w:rsid w:val="3EDD7805"/>
    <w:rsid w:val="3FC8199C"/>
    <w:rsid w:val="4BD0A179"/>
    <w:rsid w:val="5ADFEB50"/>
    <w:rsid w:val="5BEF7373"/>
    <w:rsid w:val="5D37B1EE"/>
    <w:rsid w:val="5D6CCCB6"/>
    <w:rsid w:val="5F3B8014"/>
    <w:rsid w:val="5F5AD63B"/>
    <w:rsid w:val="5FEBD959"/>
    <w:rsid w:val="67F7827B"/>
    <w:rsid w:val="6ABD4100"/>
    <w:rsid w:val="6FD5E25F"/>
    <w:rsid w:val="6FDA9061"/>
    <w:rsid w:val="76BFAB7F"/>
    <w:rsid w:val="7BDBD967"/>
    <w:rsid w:val="7D6F1EC0"/>
    <w:rsid w:val="7DFEE1E7"/>
    <w:rsid w:val="7EC7A32C"/>
    <w:rsid w:val="7F7D3E87"/>
    <w:rsid w:val="7FDF6503"/>
    <w:rsid w:val="7FE43D06"/>
    <w:rsid w:val="8B936500"/>
    <w:rsid w:val="97FF4C8B"/>
    <w:rsid w:val="AE6B4218"/>
    <w:rsid w:val="BBB3D8C7"/>
    <w:rsid w:val="BBDFD4BE"/>
    <w:rsid w:val="BBF9ACCE"/>
    <w:rsid w:val="BFDB6DB0"/>
    <w:rsid w:val="C5C785E8"/>
    <w:rsid w:val="DEC5D90B"/>
    <w:rsid w:val="E0F30E0C"/>
    <w:rsid w:val="E7F522AB"/>
    <w:rsid w:val="E97D3F00"/>
    <w:rsid w:val="EAF67753"/>
    <w:rsid w:val="EDFE56D3"/>
    <w:rsid w:val="EF6E7A9F"/>
    <w:rsid w:val="EFDA404A"/>
    <w:rsid w:val="EFFE0FF2"/>
    <w:rsid w:val="F69744DC"/>
    <w:rsid w:val="F75FEA04"/>
    <w:rsid w:val="F96E8674"/>
    <w:rsid w:val="FEAEEF63"/>
    <w:rsid w:val="FEBAF514"/>
    <w:rsid w:val="FF3F3F46"/>
    <w:rsid w:val="FFAECE31"/>
    <w:rsid w:val="FFBF629D"/>
    <w:rsid w:val="FFD74017"/>
    <w:rsid w:val="FFFFB4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567"/>
    </w:pPr>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4443</Words>
  <Characters>4548</Characters>
  <Lines>0</Lines>
  <Paragraphs>0</Paragraphs>
  <TotalTime>6</TotalTime>
  <ScaleCrop>false</ScaleCrop>
  <LinksUpToDate>false</LinksUpToDate>
  <CharactersWithSpaces>4638</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2024-10-22T16:10:08Z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1165E784563ED5399BD50D678C29266E</vt:lpwstr>
  </property>
</Properties>
</file>