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p>
    <w:p>
      <w:pPr>
        <w:rPr>
          <w:color w:val="000000" w:themeColor="text1"/>
          <w14:textFill>
            <w14:solidFill>
              <w14:schemeClr w14:val="tx1"/>
            </w14:solidFill>
          </w14:textFill>
        </w:rPr>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tbl>
      <w:tblPr>
        <w:tblStyle w:val="TableGrid"/>
        <w:tblW w:w="8222" w:type="dxa"/>
        <w:tblInd w:w="2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78"/>
        <w:gridCol w:w="1693"/>
        <w:gridCol w:w="58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34" w:hRule="atLeast"/>
        </w:trPr>
        <w:tc>
          <w:tcPr>
            <w:tcW w:w="678" w:type="dxa"/>
          </w:tcPr>
          <w:p>
            <w:pPr>
              <w:keepNext w:val="0"/>
              <w:keepLines w:val="0"/>
              <w:pageBreakBefore w:val="0"/>
              <w:widowControl w:val="0"/>
              <w:kinsoku/>
              <w:wordWrap/>
              <w:overflowPunct/>
              <w:topLinePunct w:val="0"/>
              <w:autoSpaceDE/>
              <w:autoSpaceDN/>
              <w:bidi w:val="0"/>
              <w:adjustRightInd/>
              <w:snapToGrid/>
              <w:spacing w:line="480" w:lineRule="auto"/>
              <w:ind w:left="0"/>
              <w:jc w:val="center"/>
              <w:textAlignment w:val="auto"/>
              <w:rPr>
                <w:rFonts w:hint="eastAsia" w:eastAsia="华文仿宋"/>
                <w:color w:val="000000" w:themeColor="text1"/>
                <w:sz w:val="32"/>
                <w:szCs w:val="32"/>
                <w:lang w:val="en-US" w:eastAsia="zh-CN"/>
                <w14:textFill>
                  <w14:solidFill>
                    <w14:schemeClr w14:val="tx1"/>
                  </w14:solidFill>
                </w14:textFill>
              </w:rPr>
            </w:pPr>
            <w:r>
              <w:rPr>
                <w:rFonts w:hint="eastAsia" w:ascii="Times New Roman" w:eastAsia="华文仿宋"/>
                <w:color w:val="000000" w:themeColor="text1"/>
                <w:sz w:val="32"/>
                <w:szCs w:val="32"/>
                <w:lang w:val="en-US" w:eastAsia="zh-CN"/>
                <w14:textFill>
                  <w14:solidFill>
                    <w14:schemeClr w14:val="tx1"/>
                  </w14:solidFill>
                </w14:textFill>
              </w:rPr>
              <w:t>59</w:t>
            </w:r>
          </w:p>
        </w:tc>
        <w:tc>
          <w:tcPr>
            <w:tcW w:w="7516" w:type="dxa"/>
            <w:gridSpan w:val="2"/>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eastAsiaTheme="minorEastAsia"/>
                <w:color w:val="000000" w:themeColor="text1"/>
                <w:sz w:val="32"/>
                <w:szCs w:val="32"/>
                <w:lang w:eastAsia="zh-CN"/>
                <w14:textFill>
                  <w14:solidFill>
                    <w14:schemeClr w14:val="tx1"/>
                  </w14:solidFill>
                </w14:textFill>
              </w:rPr>
            </w:pPr>
            <w:r>
              <w:rPr>
                <w:rFonts w:hint="eastAsia" w:ascii="黑体" w:hAnsi="黑体" w:eastAsia="黑体" w:cs="黑体"/>
                <w:color w:val="000000" w:themeColor="text1"/>
                <w:sz w:val="32"/>
                <w:szCs w:val="32"/>
                <w:lang w:val="en-US" w:eastAsia="zh-CN"/>
                <w14:textFill>
                  <w14:solidFill>
                    <w14:schemeClr w14:val="tx1"/>
                  </w14:solidFill>
                </w14:textFill>
              </w:rPr>
              <w:t>关于加强促进家居消费的有关建议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8"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提 出 人：</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王国彬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66" w:hRule="atLeast"/>
        </w:trPr>
        <w:tc>
          <w:tcPr>
            <w:tcW w:w="678"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p>
        </w:tc>
        <w:tc>
          <w:tcPr>
            <w:tcW w:w="1693" w:type="dxa"/>
          </w:tcPr>
          <w:p>
            <w:pPr>
              <w:keepNext w:val="0"/>
              <w:keepLines w:val="0"/>
              <w:pageBreakBefore w:val="0"/>
              <w:widowControl w:val="0"/>
              <w:tabs>
                <w:tab w:val="left" w:pos="810"/>
              </w:tabs>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lang w:val="en-US" w:eastAsia="zh-CN"/>
                <w14:textFill>
                  <w14:solidFill>
                    <w14:schemeClr w14:val="tx1"/>
                  </w14:solidFill>
                </w14:textFill>
              </w:rPr>
            </w:pPr>
            <w:r>
              <w:rPr>
                <w:rFonts w:hint="eastAsia" w:ascii="黑体" w:eastAsia="黑体"/>
                <w:color w:val="000000" w:themeColor="text1"/>
                <w:sz w:val="32"/>
                <w:szCs w:val="32"/>
                <w:lang w:val="en-US" w:eastAsia="zh-CN"/>
                <w14:textFill>
                  <w14:solidFill>
                    <w14:schemeClr w14:val="tx1"/>
                  </w14:solidFill>
                </w14:textFill>
              </w:rPr>
              <w:t>提 案 号：</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20240580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21"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办理类型：</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主办会办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主办单位：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市商务局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675" w:hRule="atLeast"/>
        </w:trPr>
        <w:tc>
          <w:tcPr>
            <w:tcW w:w="678"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hint="eastAsia" w:ascii="黑体" w:eastAsia="黑体"/>
                <w:color w:val="000000" w:themeColor="text1"/>
                <w:sz w:val="32"/>
                <w:szCs w:val="32"/>
                <w14:textFill>
                  <w14:solidFill>
                    <w14:schemeClr w14:val="tx1"/>
                  </w14:solidFill>
                </w14:textFill>
              </w:rPr>
            </w:pPr>
          </w:p>
        </w:tc>
        <w:tc>
          <w:tcPr>
            <w:tcW w:w="1693" w:type="dxa"/>
          </w:tcPr>
          <w:p>
            <w:pPr>
              <w:keepNext w:val="0"/>
              <w:keepLines w:val="0"/>
              <w:pageBreakBefore w:val="0"/>
              <w:widowControl w:val="0"/>
              <w:kinsoku/>
              <w:wordWrap/>
              <w:overflowPunct/>
              <w:topLinePunct w:val="0"/>
              <w:autoSpaceDE/>
              <w:autoSpaceDN/>
              <w:bidi w:val="0"/>
              <w:adjustRightInd/>
              <w:snapToGrid/>
              <w:spacing w:line="560" w:lineRule="exact"/>
              <w:ind w:left="0" w:hanging="1600" w:hangingChars="500"/>
              <w:textAlignment w:val="auto"/>
              <w:rPr>
                <w:rFonts w:ascii="Times New Roman"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会办单位：</w:t>
            </w:r>
          </w:p>
        </w:tc>
        <w:tc>
          <w:tcPr>
            <w:tcW w:w="5823" w:type="dxa"/>
          </w:tcPr>
          <w:p>
            <w:pPr>
              <w:keepNext w:val="0"/>
              <w:keepLines w:val="0"/>
              <w:pageBreakBefore w:val="0"/>
              <w:widowControl w:val="0"/>
              <w:kinsoku/>
              <w:wordWrap/>
              <w:overflowPunct/>
              <w:topLinePunct w:val="0"/>
              <w:autoSpaceDE/>
              <w:autoSpaceDN/>
              <w:bidi w:val="0"/>
              <w:adjustRightInd/>
              <w:snapToGrid/>
              <w:spacing w:line="560" w:lineRule="exact"/>
              <w:ind w:left="0"/>
              <w:textAlignment w:val="auto"/>
              <w:rPr>
                <w:rFonts w:hint="eastAsia" w:ascii="仿宋_GB2312" w:hAnsi="仿宋_GB2312" w:eastAsia="仿宋_GB2312" w:cs="仿宋_GB2312"/>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市住房和建设局,市工商联,市城市管理和综合执法局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73"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华文仿宋" w:hAnsi="华文仿宋" w:eastAsia="华文仿宋"/>
                <w:color w:val="000000" w:themeColor="text1"/>
                <w:sz w:val="32"/>
                <w:szCs w:val="32"/>
                <w14:textFill>
                  <w14:solidFill>
                    <w14:schemeClr w14:val="tx1"/>
                  </w14:solidFill>
                </w14:textFill>
              </w:rPr>
            </w:pPr>
            <w:r>
              <w:rPr>
                <w:rFonts w:hint="eastAsia" w:ascii="黑体" w:eastAsia="黑体"/>
                <w:color w:val="000000" w:themeColor="text1"/>
                <w:sz w:val="32"/>
                <w:szCs w:val="32"/>
                <w14:textFill>
                  <w14:solidFill>
                    <w14:schemeClr w14:val="tx1"/>
                  </w14:solidFill>
                </w14:textFill>
              </w:rPr>
              <w:t>案由：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olor w:val="000000" w:themeColor="text1"/>
                <w:sz w:val="32"/>
                <w:szCs w:val="32"/>
                <w:lang w:eastAsia="zh-CN"/>
                <w14:textFill>
                  <w14:solidFill>
                    <w14:schemeClr w14:val="tx1"/>
                  </w14:solidFill>
                </w14:textFill>
              </w:rPr>
            </w:pP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xml:space="preserve">    一、提案背景：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2023年6月29日国务院召开常务会议审议通过《关于促进家居消费的若干措施》，会议指出，家居消费涉及领域多、上下游链条长、规模体量大，采取针对性措施加以提振，有利于带动居民消费增长和经济恢复。深圳市委市政府高度重视消费商贸领域发展，刚闭幕中共深圳市委七届八次全会暨市委经济工作会议提出：要始终把消费和服务业牢牢抓在手上。立足深圳、服务内地、面向世界，拿出细之又细的谋划和实之又实的措施，激发有潜能的消费，稳定并不断扩大营利性服务业优势。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深圳家装产业从无到有，从小到大，经历了“游击队”野蛮生长、“百花齐放”公司经营、“群雄并起”智能信息化三个时代的发展与变迁。深圳现有工商注册家装公司约2300家，截至2020年底深圳建筑物普查全市共有存量住房面积6.17亿平方米、套数1093万套。按照深圳市现有存量住房数据调查和综合预测，每年需要进行装修住房保有量约40万套，年产值可持续保持在800-1000亿元之间。而且，家庭装修属于强周期性产业，按照深圳城市化进程，新建住宅和存量均能保持一定常量。因此、家装作为一个长期存在的社会需求和社会消费产业，不仅具有广阔的市场空间，且可持续发展特性强。自2019年受疫情、经济、地产等因素影响，家装消费整体疲软，国家多次出台提振家装等大宗消费政策，但家装消费领域仍存在短板，为此，提出深圳家居促消费存在的问题和建议如下：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二、存在问题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（一）尚未形成政策合力整体推动家居消费。《关于促进家居消费的若干措施》涉及13个部门，牵头部门众多，各级政府未及时出台结合本地实情的差异化政策措施。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二）未能有效发挥电商龙头平台带动作用。粤港澳大湾区是全球最重要的建材、家具及家电制造中心，深圳本土也有深耕家居领域多年的电商平台企业，但缺乏政府引领及整合，不能充分发挥电商平台与实体经济生态链等企业的有效融合，服务端和产业端1+1＞2的效应未能得到凸显。
</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br/>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　　（三）家居消费未能与城市更新、适老化改造等紧密结合。家居消费是城市老旧小区改造的下游，政府推动城市更新过程中，往往只注重外立面和环境等配套设施的升级改造，如装饰企业有效融入其中，进而有效地激发和挖掘居民进行内部环境的改造与提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textAlignment w:val="auto"/>
              <w:rPr>
                <w:rFonts w:ascii="等线" w:hAnsi="等线" w:eastAsia="等线" w:cs="等线"/>
                <w:color w:val="000000"/>
                <w:sz w:val="32"/>
                <w:szCs w:val="32"/>
              </w:rPr>
            </w:pPr>
            <w:r>
              <w:rPr>
                <w:rFonts w:hint="eastAsia" w:ascii="黑体" w:eastAsia="黑体"/>
                <w:color w:val="000000" w:themeColor="text1"/>
                <w:sz w:val="32"/>
                <w:szCs w:val="32"/>
                <w14:textFill>
                  <w14:solidFill>
                    <w14:schemeClr w14:val="tx1"/>
                  </w14:solidFill>
                </w14:textFill>
              </w:rPr>
              <w:t>建议：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82" w:hRule="atLeast"/>
        </w:trPr>
        <w:tc>
          <w:tcPr>
            <w:tcW w:w="8194" w:type="dxa"/>
            <w:gridSpan w:val="3"/>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等线" w:hAnsi="等线" w:eastAsia="等线"/>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 xml:space="preserve">    建议一、1、强化央地联动，形成一揽子促进家居消费政策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补充说明：第一，由国家主管部门会同其它各职能部门，指导各级政府及行业协会，针对性开展家居促消费系列活动。</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第二，各地结合当地实际，开展各具特色的配套活动。有条件的地区应出台针对性政策措施，支持家居消费。比如，对居民购买绿色智能家居产品给予补贴。政府应出台鼓励性措施动员头部品牌、家居卖场、装修企业、电商平台、金融机构等各类经营主体积极参与，提供更优的供给、更多的实惠、更好的体验。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建议二、2、加强政企协同，积极推动粤港澳大湾区家居特色产业带与电子商务平台的深度融合。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补充说明：第一，坚持“政府搭台、企业唱戏、百姓受益”。鼓励电商龙头企业联合粤港澳大湾区家居制造企业推出系列让利优惠活动。</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第二，打通线上线下。线上，鼓励电商平台开设家居产品销售专场专区，通过直播带货、短视频等方式带动家居产品的销售。同时，通过用户案例分享、样板间虚拟展示等方式，开展线上推广和引流。线下，引导家居企业设置智慧家居生活馆、绿色家居销售专区、旧房改造样板间等，打造体验式、沉浸式、互动式消费场景，给消费者提供丰富供给和更好体验。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建议三、3、促进家居消费应与老旧小区改造、住宅适老化改造有效联动。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 xml:space="preserve">    补充说明：第一，创新消费场景，结合城镇老旧小区改造工作，鼓励各地结合老旧小区改造，支持居民开展旧房装修和局部升级改造，给予适当的财税政策支持。</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第二，出台相应政策举措，有效扩大适老化家居环境改造的相关消费需求，比如针对适老化改造，政府与家居电商平台进行合作，搭建线上线下适老化改造样板间，举办适老化改造宣传活动等，或者推动家居电商平台建设适老化改造示范平台。</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t>第三，有效改善消费条件，完善废旧物资回收工作。各地按照便民、环保、规范的原则，在居民小区合理设置大件垃圾、装修垃圾投放点，积极推广提前预约、定时收运的模式，提高大件垃圾、装修垃圾的收运效率和精细化管理水平。
</w:t>
            </w:r>
            <w:r>
              <w:rPr>
                <w:rFonts w:hint="eastAsia" w:ascii="仿宋_GB2312" w:hAnsi="仿宋_GB2312" w:eastAsia="仿宋_GB2312" w:cs="仿宋_GB2312"/>
                <w:color w:val="000000" w:themeColor="text1"/>
                <w:sz w:val="32"/>
                <w:szCs w:val="32"/>
                <w14:textFill>
                  <w14:solidFill>
                    <w14:schemeClr w14:val="tx1"/>
                  </w14:solidFill>
                </w14:textFill>
              </w:rPr>
              <w:br/>
            </w:r>
            <w:r>
              <w:rPr>
                <w:rFonts w:hint="eastAsia" w:ascii="仿宋_GB2312" w:hAnsi="仿宋_GB2312" w:eastAsia="仿宋_GB2312" w:cs="仿宋_GB2312"/>
                <w:color w:val="000000" w:themeColor="text1"/>
                <w:sz w:val="32"/>
                <w:szCs w:val="32"/>
                <w14:textFill>
                  <w14:solidFill>
                    <w14:schemeClr w14:val="tx1"/>
                  </w14:solidFill>
                </w14:textFill>
              </w:rPr>
              <w:br w:type="textWrapping"/>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政协委员通讯录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王国彬(男),市新联会副会长，深圳市彬讯科技（土巴兔）有限公司创始人,18620367187,</w:t>
            </w:r>
          </w:p>
        </w:tc>
      </w:tr>
    </w:tbl>
    <w:p>
      <w:pPr/>
    </w:p>
    <w:tbl>
      <w:tblPr>
        <w:tblStyle w:val="5"/>
        <w:tblW w:w="8287" w:type="dxa"/>
        <w:tblInd w:w="9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96"/>
        <w:gridCol w:w="77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8287" w:type="dxa"/>
            <w:gridSpan w:val="2"/>
          </w:tcPr>
          <w:p>
            <w:r>
              <w:rPr>
                <w:rFonts w:hint="eastAsia" w:ascii="黑体" w:hAnsi="黑体" w:eastAsia="黑体"/>
                <w:sz w:val="30"/>
                <w:szCs w:val="30"/>
              </w:rPr>
              <w:t>承办单位通讯录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trPr>
        <w:tc>
          <w:tcPr>
            <w:tcW w:w="469" w:type="dxa"/>
          </w:tcPr>
          <w:p>
            <w:r>
              <w:rPr>
                <w:rFonts w:hint="eastAsia" w:ascii="仿宋_GB2312" w:eastAsia="仿宋_GB2312" w:cs="仿宋_GB2312"/>
                <w:sz w:val="28"/>
                <w:szCs w:val="28"/>
              </w:rPr>
              <w:t>1.</w:t>
            </w:r>
          </w:p>
        </w:tc>
        <w:tc>
          <w:tcPr>
            <w:tcW w:w="7818" w:type="dxa"/>
          </w:tcPr>
          <w:p>
            <w:r>
              <w:rPr>
                <w:rFonts w:hint="eastAsia" w:ascii="仿宋_GB2312" w:eastAsia="仿宋_GB2312" w:cs="仿宋_GB2312"/>
                <w:sz w:val="28"/>
                <w:szCs w:val="28"/>
              </w:rPr>
              <w:t>市城市管理和综合执法局(谢瑜曼),13602578878,83072964,莲花支路1004号,518036</w:t>
            </w:r>
          </w:p>
        </w:tc>
      </w:tr>
      <w:tr>
        <w:tc>
          <w:tcPr>
            <w:tcW w:w="469" w:type="dxa"/>
          </w:tcPr>
          <w:p>
            <w:r>
              <w:rPr>
                <w:rFonts w:hint="eastAsia" w:ascii="仿宋_GB2312" w:eastAsia="仿宋_GB2312" w:cs="仿宋_GB2312"/>
                <w:sz w:val="28"/>
                <w:szCs w:val="28"/>
              </w:rPr>
              <w:t>2.</w:t>
            </w:r>
          </w:p>
        </w:tc>
        <w:tc>
          <w:tcPr>
            <w:tcW w:w="7818" w:type="dxa"/>
          </w:tcPr>
          <w:p>
            <w:r>
              <w:rPr>
                <w:rFonts w:hint="eastAsia" w:ascii="仿宋_GB2312" w:eastAsia="仿宋_GB2312" w:cs="仿宋_GB2312"/>
                <w:sz w:val="28"/>
                <w:szCs w:val="28"/>
              </w:rPr>
              <w:t>市工商联(金赫明),18575569199,82117108,深圳市罗湖区红宝路8号,518008</w:t>
            </w:r>
          </w:p>
        </w:tc>
      </w:tr>
      <w:tr>
        <w:tc>
          <w:tcPr>
            <w:tcW w:w="469" w:type="dxa"/>
          </w:tcPr>
          <w:p>
            <w:r>
              <w:rPr>
                <w:rFonts w:hint="eastAsia" w:ascii="仿宋_GB2312" w:eastAsia="仿宋_GB2312" w:cs="仿宋_GB2312"/>
                <w:sz w:val="28"/>
                <w:szCs w:val="28"/>
              </w:rPr>
              <w:t>3.</w:t>
            </w:r>
          </w:p>
        </w:tc>
        <w:tc>
          <w:tcPr>
            <w:tcW w:w="7818" w:type="dxa"/>
          </w:tcPr>
          <w:p>
            <w:r>
              <w:rPr>
                <w:rFonts w:hint="eastAsia" w:ascii="仿宋_GB2312" w:eastAsia="仿宋_GB2312" w:cs="仿宋_GB2312"/>
                <w:sz w:val="28"/>
                <w:szCs w:val="28"/>
              </w:rPr>
              <w:t>市住房和建设局(肖珍),18027650925,83788509,深圳市福田区振华路8号设计大厦8楼,518031</w:t>
            </w:r>
          </w:p>
        </w:tc>
      </w:tr>
      <w:tr>
        <w:tc>
          <w:tcPr>
            <w:tcW w:w="469" w:type="dxa"/>
          </w:tcPr>
          <w:p>
            <w:r>
              <w:rPr>
                <w:rFonts w:hint="eastAsia" w:ascii="仿宋_GB2312" w:eastAsia="仿宋_GB2312" w:cs="仿宋_GB2312"/>
                <w:sz w:val="28"/>
                <w:szCs w:val="28"/>
              </w:rPr>
              <w:t>4.</w:t>
            </w:r>
          </w:p>
        </w:tc>
        <w:tc>
          <w:tcPr>
            <w:tcW w:w="7818" w:type="dxa"/>
          </w:tcPr>
          <w:p>
            <w:r>
              <w:rPr>
                <w:rFonts w:hint="eastAsia" w:ascii="仿宋_GB2312" w:eastAsia="仿宋_GB2312" w:cs="仿宋_GB2312"/>
                <w:sz w:val="28"/>
                <w:szCs w:val="28"/>
              </w:rPr>
              <w:t>市商务局(杨燕丝),15018508216,88107021,福田区福华一路大中华国际交易广场12楼,518000</w:t>
            </w:r>
          </w:p>
        </w:tc>
      </w:tr>
    </w:tbl>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zhjNjM5MmQ5NWFjOTZkMDY3ZGQzM2E4YzI1NjAifQ=="/>
  </w:docVars>
  <w:rsids>
    <w:rsidRoot w:val="000D41E6"/>
    <w:rsid w:val="00042432"/>
    <w:rsid w:val="000D41E6"/>
    <w:rsid w:val="001114EC"/>
    <w:rsid w:val="00147BCA"/>
    <w:rsid w:val="00166A4D"/>
    <w:rsid w:val="001A0FF8"/>
    <w:rsid w:val="001C3C90"/>
    <w:rsid w:val="002031D5"/>
    <w:rsid w:val="00227F39"/>
    <w:rsid w:val="00236E41"/>
    <w:rsid w:val="00260F67"/>
    <w:rsid w:val="002914C5"/>
    <w:rsid w:val="002C0D47"/>
    <w:rsid w:val="00310FF0"/>
    <w:rsid w:val="00334546"/>
    <w:rsid w:val="003911DC"/>
    <w:rsid w:val="003A2443"/>
    <w:rsid w:val="003D7F99"/>
    <w:rsid w:val="0044291E"/>
    <w:rsid w:val="004C0288"/>
    <w:rsid w:val="004C293B"/>
    <w:rsid w:val="004C7B0D"/>
    <w:rsid w:val="004E154D"/>
    <w:rsid w:val="004E6A0C"/>
    <w:rsid w:val="004F68A2"/>
    <w:rsid w:val="005B6100"/>
    <w:rsid w:val="00602884"/>
    <w:rsid w:val="00673758"/>
    <w:rsid w:val="006A7092"/>
    <w:rsid w:val="00732C1E"/>
    <w:rsid w:val="00793158"/>
    <w:rsid w:val="00797A98"/>
    <w:rsid w:val="007E338C"/>
    <w:rsid w:val="008144F1"/>
    <w:rsid w:val="0083551E"/>
    <w:rsid w:val="008D308A"/>
    <w:rsid w:val="008E4222"/>
    <w:rsid w:val="008F421A"/>
    <w:rsid w:val="0092585E"/>
    <w:rsid w:val="00935CC5"/>
    <w:rsid w:val="00941347"/>
    <w:rsid w:val="00967712"/>
    <w:rsid w:val="00994498"/>
    <w:rsid w:val="009C485E"/>
    <w:rsid w:val="009E2147"/>
    <w:rsid w:val="00A34BBB"/>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42F7"/>
    <w:rsid w:val="00C6715C"/>
    <w:rsid w:val="00C74D4D"/>
    <w:rsid w:val="00CB7179"/>
    <w:rsid w:val="00D30A2D"/>
    <w:rsid w:val="00D604D5"/>
    <w:rsid w:val="00D82E5F"/>
    <w:rsid w:val="00D922D5"/>
    <w:rsid w:val="00DB7E1D"/>
    <w:rsid w:val="00E63E06"/>
    <w:rsid w:val="00F0289C"/>
    <w:rsid w:val="00F336A0"/>
    <w:rsid w:val="00F50B82"/>
    <w:rsid w:val="00F87CE5"/>
    <w:rsid w:val="00FE6055"/>
    <w:rsid w:val="08CE6F70"/>
    <w:rsid w:val="0FD27D79"/>
    <w:rsid w:val="134F76DA"/>
    <w:rsid w:val="13E3273E"/>
    <w:rsid w:val="13F803AD"/>
    <w:rsid w:val="169D5372"/>
    <w:rsid w:val="20AD64FF"/>
    <w:rsid w:val="2192492D"/>
    <w:rsid w:val="25F80A39"/>
    <w:rsid w:val="2B8A6344"/>
    <w:rsid w:val="2E59180F"/>
    <w:rsid w:val="373B464F"/>
    <w:rsid w:val="3F5E17DA"/>
    <w:rsid w:val="44360900"/>
    <w:rsid w:val="4E8D4E8C"/>
    <w:rsid w:val="4EE062F9"/>
    <w:rsid w:val="514C5B9B"/>
    <w:rsid w:val="54992EC7"/>
    <w:rsid w:val="58FB2054"/>
    <w:rsid w:val="5EA62400"/>
    <w:rsid w:val="6ADA0666"/>
    <w:rsid w:val="70A46629"/>
    <w:rsid w:val="79EF70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4"/>
    <w:autoRedefine/>
    <w:semiHidden/>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3"/>
    <w:autoRedefine/>
    <w:unhideWhenUsed/>
    <w:qFormat/>
    <w:uiPriority w:val="99"/>
    <w:pPr>
      <w:tabs>
        <w:tab w:val="center" w:pos="4153"/>
        <w:tab w:val="right" w:pos="8306"/>
      </w:tabs>
      <w:snapToGrid w:val="0"/>
      <w:jc w:val="left"/>
    </w:pPr>
    <w:rPr>
      <w:sz w:val="18"/>
      <w:szCs w:val="18"/>
    </w:rPr>
  </w:style>
  <w:style w:type="paragraph" w:styleId="5">
    <w:name w:val="header"/>
    <w:basedOn w:val="1"/>
    <w:link w:val="1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9">
    <w:name w:val="Light Shading Accent 2"/>
    <w:autoRedefine/>
    <w:qFormat/>
    <w:uiPriority w:val="60"/>
    <w:rPr>
      <w:color w:val="C55A11" w:themeColor="accent2" w:themeShade="BF"/>
    </w:rPr>
    <w:tblPr>
      <w:tblBorders>
        <w:top w:val="single" w:color="ED7D31" w:themeColor="accent2" w:sz="8" w:space="0"/>
        <w:bottom w:val="single" w:color="ED7D31"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lastRow">
      <w:pPr>
        <w:spacing w:before="0" w:after="0" w:line="240" w:lineRule="auto"/>
      </w:pPr>
      <w:rPr>
        <w:b/>
        <w:bCs/>
      </w:rPr>
      <w:tblPr/>
      <w:tcPr>
        <w:tcBorders>
          <w:top w:val="single" w:color="ED7D31" w:themeColor="accent2" w:sz="8" w:space="0"/>
          <w:left w:val="nil"/>
          <w:bottom w:val="single" w:color="ED7D31"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C" w:themeFill="accent2" w:themeFillTint="3F"/>
      </w:tcPr>
    </w:tblStylePr>
    <w:tblStylePr w:type="band1Horz">
      <w:tblPr/>
      <w:tcPr>
        <w:tcBorders>
          <w:left w:val="nil"/>
          <w:right w:val="nil"/>
          <w:insideH w:val="nil"/>
          <w:insideV w:val="nil"/>
        </w:tcBorders>
        <w:shd w:val="clear" w:color="auto" w:fill="FADECC" w:themeFill="accent2" w:themeFillTint="3F"/>
      </w:tcPr>
    </w:tblStylePr>
  </w:style>
  <w:style w:type="character" w:styleId="11">
    <w:name w:val="annotation reference"/>
    <w:basedOn w:val="10"/>
    <w:semiHidden/>
    <w:unhideWhenUsed/>
    <w:qFormat/>
    <w:uiPriority w:val="99"/>
    <w:rPr>
      <w:sz w:val="21"/>
      <w:szCs w:val="21"/>
    </w:rPr>
  </w:style>
  <w:style w:type="character" w:customStyle="1" w:styleId="12">
    <w:name w:val="页眉 字符"/>
    <w:basedOn w:val="10"/>
    <w:link w:val="5"/>
    <w:qFormat/>
    <w:uiPriority w:val="99"/>
    <w:rPr>
      <w:sz w:val="18"/>
      <w:szCs w:val="18"/>
    </w:rPr>
  </w:style>
  <w:style w:type="character" w:customStyle="1" w:styleId="13">
    <w:name w:val="页脚 字符"/>
    <w:basedOn w:val="10"/>
    <w:link w:val="4"/>
    <w:qFormat/>
    <w:uiPriority w:val="99"/>
    <w:rPr>
      <w:sz w:val="18"/>
      <w:szCs w:val="18"/>
    </w:rPr>
  </w:style>
  <w:style w:type="character" w:customStyle="1" w:styleId="14">
    <w:name w:val="批注文字 字符"/>
    <w:basedOn w:val="10"/>
    <w:link w:val="2"/>
    <w:semiHidden/>
    <w:qFormat/>
    <w:uiPriority w:val="99"/>
  </w:style>
  <w:style w:type="character" w:customStyle="1" w:styleId="15">
    <w:name w:val="批注主题 字符"/>
    <w:basedOn w:val="14"/>
    <w:link w:val="6"/>
    <w:semiHidden/>
    <w:qFormat/>
    <w:uiPriority w:val="99"/>
    <w:rPr>
      <w:b/>
      <w:bCs/>
    </w:rPr>
  </w:style>
  <w:style w:type="character" w:customStyle="1" w:styleId="16">
    <w:name w:val="批注框文本 字符"/>
    <w:basedOn w:val="10"/>
    <w:link w:val="3"/>
    <w:semiHidden/>
    <w:qFormat/>
    <w:uiPriority w:val="99"/>
    <w:rPr>
      <w:sz w:val="18"/>
      <w:szCs w:val="18"/>
    </w:rPr>
  </w:style>
  <w:style w:type="table" w:styleId="TableGrid">
    <w:name w:val="Table Grid"/>
    <w:basedOn w:val="TableNormal"/>
    <w:uiPriority w:val="59"/>
    <w:rsid w:val="008D011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unnamedxuan</Company>
  <Pages>1</Pages>
  <Words>39</Words>
  <Characters>41</Characters>
  <Lines>1</Lines>
  <Paragraphs>1</Paragraphs>
  <TotalTime>0</TotalTime>
  <ScaleCrop>false</ScaleCrop>
  <LinksUpToDate>false</LinksUpToDate>
  <CharactersWithSpaces>45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2014-03-05T06:43:00Z</dcterms:created>
  <dc:creator>unnamedxuan@qq.com</dc:creator>
  <cp:lastModifiedBy>lenovo</cp:lastModifiedBy>
  <dcterms:modified xsi:type="dcterms:W3CDTF">2024-06-24T03:05:11Z</dcterms:modified>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22EB438B6E71432982BA343865294FE5</vt:lpwstr>
  </property>
</Properties>
</file>