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35</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关于多措并举化解痛点，数字人民币破题入境支付困境的建议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狄刚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市地方金融监督管理局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人民银行深圳市中心支行,市商务局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党的二十大报告提出，“加快发展数字经济，促进数字经济和实体经济深度融合”。2023年中央金融工作会议指出，“做好科技金融、绿色金融、普惠金融、养老金融、数字金融五篇大文章”。按照深圳市十四五规划中关于开展数字货币研究与移动支付等创新应用、建设法定数字货币实验区的相关部署，数字人民币研发试点工作稳步推进，数字人民币跨境应用取得积极进展：数字人民币先后为冬奥会，大运会，亚运会各国运动员、代表团、外国旅客提供了便捷的数币支付服务；数字人民币系统7×24小时不间断运行和“支付即结算”等特性，为内地和香港双向跨境支付提供了新的解决方案，有助于促进粤港澳大湾区一体化建设。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2023年5月，覃伟中市长对《福田区在教培领域试点数字人民币破解“跑路”难题》批示：“很好！继续推动试点，努力取得更大成效。”2023年7月，孟凡利书记在《畅通深港跨境支付 便利港人来深消费》报告中作批示，指示“对数字人民币尽快推动全场景使用，要不断提升、完善，如此大规模的跨境支付服务还是可以积累很多经验的，这也是先行示范区的贡献！”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2023年初深圳全面通关后，出入境旅客数量不断攀升，大量香港居民到深消费。目前，现金使用日趋减少，且境外人士在境内开立人民币银行账户存在一定困难。面对入境政策变化新形势下的支付需求，应充分发挥深圳与香港毗邻优势，联合各方力量积极推进深港跨境消费应用场景建设，重点打造机场、入境关口等周边商圈的数字人民币应用环境建设，实现深圳地区数字人民币支付的广泛性和便捷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建议一、鼓励市场机构加大数字人民币受理环境建设力度，方便深圳地区及境外居民来深使用数字人民币，提升消费热度。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目前人行数研所正在按照“不改变用户消费习惯、尽量降低商户改造成本”的原则推进数字人民币与传统电子支付的条码互通，目前10家运营机构和10家具备受理能力的同业银行、支付机构已完成技术改造，可以支持数字人民币APP扫电子支付码。建议鼓励属地运营机构、受理服务机构加大在器具改造、物料布设及收银员培训等方面的投入，市（区）政府部门及时给予一定程度的资金支持或政策性补贴，提升最后一公里服务，发力受理市场建设，尽快提升数字人民币受理覆盖面，打造数字人民币跨境应用示范区。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建议二、鼓励各相关单位积极参与多边货币桥跨境试点，降低国际贸易成本和风险。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2022年，深圳金融科技研究院已支持深圳中电投资股份有限公司、深圳佰维存储科技股份有限公司、深圳市深业晋展物料供应有限公司、深圳市云华控股有限公司等多家企业分别与工行、中行合作，成功完成了货币桥真实交易试点。根据试点情况，货币桥处理一笔支付业务最快可在7秒内完成，交易成本可以降低至少50%，能够为国际贸易大幅提高跨境支付效率、降低跨境支付成本。建议利用货币桥将于2024年一季度进入持续运营的最小可行产品阶段的契机，大力支持深圳外贸企业更多地参与试点，通过货币桥以更低成本、更高效率实现跨境支付。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建议三、积极参与香港跨境双边项目，探索更多双边跨境创新应用。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2023年，深圳地区成功开展两轮针对香港用户的红包活动，新增香港用户近1.5万人，开立香港钱包近2万个，积累了成功经验。根据总体安排，香港跨境双边项目下阶段将进一步扩大内地和香港两方参与主体，支持更多机构参与试点；拓宽服务用户，覆盖更多香港本地居民和商户，并有序扩大数字人民币应用于货物贸易和服务贸易等经常项下场景。建议深圳地区深入参与数字人民币跨境双边应用试点，加强用户宣传及活动组织，做好港人北上用户服务，并积极参与大湾区服贸、货贸等场景下跨境应用探索。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狄刚(男),中国人民银行数字货币研究所副所长，深圳金融科技研究院（中国人民银行金融科技研究院）院长，中国金融学会金融科技专业委员会常务委员，全国区块链和分布式记账技术标准化技术委员会副主任委员,13901282355,</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人民银行深圳市中心支行(刘倩薇),18312012142,25590240-197,深圳市深南东路5006号中国人民银行大厦,518001</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市地方金融监督管理局(王宏伟),13825235964,88127327,市民中心C4062,518036</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