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34</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关于把握前海、河套政策发展机遇，探索建设数据安全有序跨境流动的“数据特区”的提案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曾科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市委网信办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市工业和信息化局,市港澳办,市商务局,深圳通信管理局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前海、河套是习近平总书记亲自谋划、亲自部署的重大平台，今年以来，《河套深港科技创新合作区深圳园区发展规划》（简称“《河套规划》”）和《前海深港现代服务业合作区总体发展规划》（简称“《前海总规》”）先后出台，绘制了河套、前海高质量发展的“新蓝图”。作为两大对港合作平台，产业的融通对数据跨境流动也产生新需求。国家已出台相关政策支持深圳等地在数据跨境方面先行先试。2023年8月，国务院印发《关于进一步优化外商投资环境 加大吸引外商投资力度的意见》，明确支持北京、天津、上海、粤港澳大湾区等地试点探索形成可自由流动的一般数据清单。与此同时，粤港澳大湾区数据跨境流动便利化政策安排为深圳探索数据跨境流动带来新契机。2023年6月，国家网信办和香港特区政府签署《关于促进粤港澳大湾区数据跨境流动的合作备忘录》，提出“促进粤港澳大湾区个人信息跨境流动”等制度安排。为落实《备忘录》要求，2023年12月10日，国家网信办与香港创科局共同发布《粤港澳大湾区（内地、香港）个人信息跨境流动标准合同实施指引》，为大湾区个人信息跨境提供了便利化的路径。新时期，深圳应把握国家重大政策发展机遇，充分发挥前海、河套两大平台的功能优势，加快探索建设数据安全有序跨境流动的“数据特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建议一、探索建立数据跨境流动安全管理机制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试点探索形成可自由流动的一般数据清单，建设服务平台，提供数据跨境流动合规服务。二是在国家及行业数据跨境传输安全管理制度框架下，推进数据跨境传输（出境）安全管理工作，探索建立跨境数据分类分级管理机制，建立数据安全保护能力评估认证、数据流通备份审查、跨境数据流通和交易风险评估等数据安全管理机制。三是探索完善“数据海关”制度，优化数据跨境审查、评估、监管等工作流程。四是在《关于促进粤港澳大湾区数据跨境流动的合作备忘录》框架下，加快推进与港澳开展数据跨境共享合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建议二、有序发展数据跨境流通交易业务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建立数据跨境交易风险评估应用场景。针对跨境电商、跨境支付、供应链管理、服务外包等典型应用场景，探索安全规范的数据跨境流动方式。二是加强跨境交易数据产品安全合规审查。加强场内跨境数据交易标的管理和审核，推动主体、标的、流通层面合法合规的数据产品通过场内上市交易。在条件成熟时，鼓励数据市场交易主体开展跨境数据产品登记，经由登记的数据产品在安全合规的前提下进行跨境流通交易。三是打造数据跨境交易可信流通环境。鼓励数据跨境交易关键技术创新，建设集约高效的数据跨境基础设施，支撑数据资源汇聚融合和创新应用，支持隐私计算、区块链存证、数据空间等新型数字技术在流通前评估、交易撮合、交易清结算等流程的应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建议三、大力发展数字贸易和国际数据产业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建设数字贸易国际枢纽和国际数据跨境流通枢纽，开展规则综合集成和压力测试，探索数据跨境制度创新，研究编制场景清单和操作指引，推进数据安全可信流动。二是建设全球数字贸易展示交易新平台，支持建设贸易数字化赋能中心、跨国企业数据流通服务中心，优化数据跨境服务产业布局，大力发展数据跨境服务业，培育数字贸易龙头企业。三是探索建设离岸数据交易平台，以国际互联网转接等核心业态，带动发展数字贸易、离岸数据服务外包、互联网创新孵化等关联业态，汇聚国际数据资源，完善相关管理机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曾科(女),民革市委会常委，福田区企业发展服务中心副主任，福田区河套深港科技创新合作区建设发展指挥部副总指挥,13926566106,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深圳通信管理局(王小文),18682089088,83522722,深圳市福田区商报路奥林匹克大厦18楼,518034</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市委网信办(林锦涛),19928819726,88133780,深圳市福田区同心路3号,518000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市港澳办(张文昌),15768113839,88120401,</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