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33</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关于进一步加强企业合规建设，营造一流法治化营商环境的提案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胡伟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20240291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市司法局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市工业和信息化局,市商务局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当前，深圳正在积极推进企业合规示范区建设，今年4月，印发了全国首个全面推进企业合规建设的政策性文件《关于加快打造企业合规示范区的实施意见》。5月，全国首个企业合规专业协会——深圳市企业合规协会正式获批设立。8月，率先发布了企业合规地方标准《企业合规管理体系》。尽管如此，企业合规建设仍然存在一些问题亟需解决：一是政府各部门合规建设大格局大氛围还未形成。合规建设仍然突出集中在司法局这样的牵头部门、检察院这样的法律监督机关和商务局这样的经济产业部门。在市一级层面上的各行政执法、处罚、强制职权的相关部门积极性、主动性还不够。二是合规建设的重要性和意义的宣传引导还不够，“我要合规”的社会共识未广泛形成，合规建设存在上热下冷现象，企业合规内生动力没有得到充分激发。三是合规建设指引的覆盖面还不够广泛。虽然政府相关部门已经发布了一些合规指引，但是这些指引仍然存在覆盖面较为狭窄、资源分散不集中的问题。四是中小企业合规服务供给不畅。合规建设本身是一项艰巨、复杂、长期且专业的工作，例如《企业合规管理体系》的附录中列出的合规管理重点领域就有13个方面，这对于深圳企业占比达99%的中小企业来说并不容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建议一、健全完善一套联动机制，形成合规服务合力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建议进一步健全完善企业合规示范区创建机制。一是明确“谁执法谁普法谁服务”原则，将全市具备行政处罚、行政强制等职权的单位开展涉企合规工作的情况纳入绩效考核，在政府内部优先普及合规文化沃土。二是弱化行政处罚中的量化指标，探索在法律法规框架内，弹性执法与涉企合规整改的规范性边界，有效管控柔性执法的廉政风险。三是主动宣传引导，不定期召开合规建设新闻发布会，每年发布“合规示范区建设发展白皮书”，营造良好社会氛围。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建议二、综合编印一本服务手册，提供合规服务指引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合规建设涉及面广、内容繁杂，按照《深圳经济特区优化营商环境条例》第103条，行政机关可以发布一般性的指导意见或者提出具体指导提示市场主体依法合规经营，建议合规建设牵头部门组织编印合规服务“1+N”手册，便于广大中小企业快速查找、咨询和寻求帮助。一是综合编印一本涵盖政府各行业部门的综合服务手册，简要列明涉企相关法律法规、主要风险识别、服务联系方式等内容。便于中小企业快速查找、对号入座、求助有道。二是统筹各单位发布N本专业指导手册，例如《深圳市企业数据合规指引》、《中国企业出口合规指南》等，充分发挥行业合规专门指导作用。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建议三、汇集典型案例举一反三，激发合规建设动力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建议打造深圳合规建设典型案例数据库。一是从政府端和企业端分别开展合规服务、合规建设典型案例的评选活动，从“双向发力”上树典型。二是建设开放式的典型案例数据库，动态梳理合规建设过程中正面和负面的典型案例，用现实中活生生的例子引导企业重视合规建设、提升风险防控意识，争取实现典型案例社会效益最大化。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建议四、探索建立一个响应平台，精准实施合规帮扶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合规服务需要进一步加强与中小企业的互动，充分了解他们的需求，广泛征求他们的意见，从而不断丰富合规服务的内容，改进合规服务的方式，使合规服务更精准、更有效。建议适应移动互联网时代的需要，搭建合规服务专有平台。一是建设网站、微信公众号等移动互联服务端，采用更接地气、更聚人气的新媒体方式，在政策推广、普法教育、合规文化、意见收集、服务响应等方面加强宣传和互动。二是发挥好社会组织的积极作用。支持和帮助深圳市企业合规协会健康发展，在合规标准化建设、人才培养、国内外交流等方面创建深圳特色和品牌，助力全市合规建设高水平发展。三是研究出台中小企业帮扶政策。通过政府指导、资金扶持、购买服务等方式为中小企业合规建设提供具体帮助，纾困培优。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胡伟(男),民革市委会常委，大鹏新区大鹏街道办事处副主任、应急办主任,13828813708,</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市司法局(陈文韬),18938081237,无,福田区景田路72号天平大厦,518008</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市工业和信息化局(潘洋),18118783860,88101827,福田区福中三路市民中心三楼,518036</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