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30</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关于推动惠企政策精准直达的建议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汪小兰,陈惠波,徐期林,徐晓萌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市工业和信息化局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市商务局,福田区人民政府,罗湖区人民政府,盐田区人民政府,南山区人民政府,宝安区人民政府,龙岗区人民政府,龙华区人民政府,坪山区人民政府,光明区人民政府,大鹏新区管理委员会,深汕合作区管理委员会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中共中央、国务院发布的《关于促进民营经济发展壮大的意见》也明确强调“完善支持政策直达快享机制。”畅通政企沟通渠道，让惠企政策应知尽知、应享尽享、应兑尽兑，正是优化营商环境的重要环节。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IA智能已渗透到各行各业各个领域，如何通过智能手段做到“全市政策一盘棋，惠企政策一站达”的效果，需要更多的政策工具做辅助。目前深圳市部分职能局及部分条款已实现“免申即享”的惠企思路，同时各区也有秒批的政策条款，但是从惠企政策“应享尽享、应兑竞兑”的目标来看，距离实际执行落地情况，依然存在一定的差距。目前在政策制定及政策执行方面，主要发现以下几个问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1、企业申请政策通道执行数据合力不够。各部门补贴政策没有汇聚数据仓库，不利于精准惠企的补贴画像、行业走势分析的形成，无法通过扶持数据反映真实的产业创新及变革的走向。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2、政策制定时间及执行周期较短。前后更替的新老政策执行顺延时间不明确，对外公开的变更信息不透明，不仅对于符合条件的企业容易因政策变动而形成空头支票，容易因为政企信息不对称而激发政企矛盾的发生，同时对于后期审计方面造成较大的风险。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3、全市各区惠企补贴条款方面标准不一。全市各区政策更多结合当地重点产业做重点考虑设置政策条款，通用补贴金额高低参差不齐，容易造成各区之间招商引资方面的不良竞争。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建议一、整合政策申报平台，汇聚全市企业数据。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采取先进的技术融合手段，基于各区现有平台上，整合各申报平台的开放数据端口，打通全市各区、各职能部门政策通知及申报平台，形成相融相通的企业申报画像及申报信息的数据仓库，运用AI智能算法为后期的政策制定、政策执行、政策更新提供科学的决策依据。二是，汇集各区产业空间流动对接平台，以街道为单位设立产业虚拟园区，公开空间、土地资源信息，各区之间一旦形成惠企服务合力，涉及企业业务外溢或者其他原因的搬离，可主动帮助企业对接跨区产业扶持政策，及街道虚拟园区产业空间、土地的优惠条件。保障本土成长企业留深发展的同时，逐渐整体的招商氛围也得到改善，慢慢形成各区产业之间的良性流动，重点方向则逐步放眼跨省、跨国招商为目标。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建议二、规范政策制定流程，接续政策执行周期。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除已规范的政策制定内部流程以外，可考虑扩大议政范围，增设“三个一”研讨机制，包括一次企业研讨会议、一次专家研讨会议、一次行业协会研讨会议，增加政策落地执行的可操作性。二是，充分考虑政策执行周期的承前启后，对于招商引资期间已口头承诺的企业签署相应的政策执行时间及条款的承诺书，形成内部服务接续的工作闭环，为接续服务的工作人员提供后续的执行依据，增加政府职能部门政策履约执行的公信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建议三、统筹政策标准条款，支持各区特色条款。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根据各区产业及经济实力，做好政策统筹及研究，梳理及区分政策标准条款及特色条款。标准条款优惠力度可以考虑各区补贴额度上下浮动不超过百分之十。以租金补贴设定为普惠性政策为例，如果A区为20元/平方米为补贴标准，那么各区补贴额度相差应在20元/平方米-22元/平方米之间。二是，统筹制定“产品及服务重点扶持要素清单”。特色条款则根据拟重点发展的产业领域，做相关业态的政策倾斜，可以将各行业在研发设计、生产、流通等环节的重点工作设定“产品及服务重点扶持环节要素清单”指导各区精准有效的出台相应的扶持政策，这样有利于各区形成专业的产业协同关系，正确引导各区优势产业差异化的形成。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汪小兰(女),宝安区文化体育产业协会执行会长兼秘书长,15920051965,</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陈惠波(男),中国电影电视技术学会电影高新技术专业委员会副主任，深圳市定军山科技有限公司董事长,13809897738,</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徐期林(男),广东南天司法鉴定所副所长、深圳市南天明鉴科技有限公司，总经理,13802200685,</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徐晓萌(女),深圳市幸福西饼慈善基金会秘书长,18221869199,</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宝安区人民政府(蔡兆锋),17705928046,29996501,宝安区委区政府大楼区委区府办,518130</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福田区人民政府(周余),13522705798,82918333-1292,福田区福民路123号,518048</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南山区人民政府(何淑妮),13751032231,26662505,南山区府大楼,518052</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龙岗区人民政府(尹政),15814458136,88180191,龙岗区人民政府,518172</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罗湖区人民政府(浩波),15919801151,25666157,罗湖区文锦中路罗湖管理中心大厦,518000</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盐田区人民政府(徐书豪),15626522969,25482009,盐田区沙盐路2088号,518090</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光明区人民政府(肖汉敬),15363451186,88212180,光明区区委区政府大楼208,518107</w:t>
            </w:r>
          </w:p>
        </w:tc>
      </w:tr>
      <w:tr>
        <w:tc>
          <w:tcPr>
            <w:tcW w:w="469" w:type="dxa"/>
          </w:tcPr>
          <w:p>
            <w:r>
              <w:rPr>
                <w:rFonts w:hint="eastAsia" w:ascii="仿宋_GB2312" w:eastAsia="仿宋_GB2312" w:cs="仿宋_GB2312"/>
                <w:sz w:val="28"/>
                <w:szCs w:val="28"/>
              </w:rPr>
              <w:t>8.</w:t>
            </w:r>
          </w:p>
        </w:tc>
        <w:tc>
          <w:tcPr>
            <w:tcW w:w="7818" w:type="dxa"/>
          </w:tcPr>
          <w:p>
            <w:r>
              <w:rPr>
                <w:rFonts w:hint="eastAsia" w:ascii="仿宋_GB2312" w:eastAsia="仿宋_GB2312" w:cs="仿宋_GB2312"/>
                <w:sz w:val="28"/>
                <w:szCs w:val="28"/>
              </w:rPr>
              <w:t>坪山区人民政府(骆玉云),13480792886,84622613,深圳市坪山区坪山大道333号区政府大楼623室,518118</w:t>
            </w:r>
          </w:p>
        </w:tc>
      </w:tr>
      <w:tr>
        <w:tc>
          <w:tcPr>
            <w:tcW w:w="469" w:type="dxa"/>
          </w:tcPr>
          <w:p>
            <w:r>
              <w:rPr>
                <w:rFonts w:hint="eastAsia" w:ascii="仿宋_GB2312" w:eastAsia="仿宋_GB2312" w:cs="仿宋_GB2312"/>
                <w:sz w:val="28"/>
                <w:szCs w:val="28"/>
              </w:rPr>
              <w:t>9.</w:t>
            </w:r>
          </w:p>
        </w:tc>
        <w:tc>
          <w:tcPr>
            <w:tcW w:w="7818" w:type="dxa"/>
          </w:tcPr>
          <w:p>
            <w:r>
              <w:rPr>
                <w:rFonts w:hint="eastAsia" w:ascii="仿宋_GB2312" w:eastAsia="仿宋_GB2312" w:cs="仿宋_GB2312"/>
                <w:sz w:val="28"/>
                <w:szCs w:val="28"/>
              </w:rPr>
              <w:t xml:space="preserve">大鹏新区管理委员会(孙月嫦),13570427515,28333965,      </w:t>
            </w:r>
          </w:p>
        </w:tc>
      </w:tr>
      <w:tr>
        <w:tc>
          <w:tcPr>
            <w:tcW w:w="469" w:type="dxa"/>
          </w:tcPr>
          <w:p>
            <w:r>
              <w:rPr>
                <w:rFonts w:hint="eastAsia" w:ascii="仿宋_GB2312" w:eastAsia="仿宋_GB2312" w:cs="仿宋_GB2312"/>
                <w:sz w:val="28"/>
                <w:szCs w:val="28"/>
              </w:rPr>
              <w:t>10.</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11.</w:t>
            </w:r>
          </w:p>
        </w:tc>
        <w:tc>
          <w:tcPr>
            <w:tcW w:w="7818" w:type="dxa"/>
          </w:tcPr>
          <w:p>
            <w:r>
              <w:rPr>
                <w:rFonts w:hint="eastAsia" w:ascii="仿宋_GB2312" w:eastAsia="仿宋_GB2312" w:cs="仿宋_GB2312"/>
                <w:sz w:val="28"/>
                <w:szCs w:val="28"/>
              </w:rPr>
              <w:t>龙华区人民政府(黄文飞),15623712834,23338079,龙华区观湖街道广场沿河路1号,518110</w:t>
            </w:r>
          </w:p>
        </w:tc>
      </w:tr>
      <w:tr>
        <w:tc>
          <w:tcPr>
            <w:tcW w:w="469" w:type="dxa"/>
          </w:tcPr>
          <w:p>
            <w:r>
              <w:rPr>
                <w:rFonts w:hint="eastAsia" w:ascii="仿宋_GB2312" w:eastAsia="仿宋_GB2312" w:cs="仿宋_GB2312"/>
                <w:sz w:val="28"/>
                <w:szCs w:val="28"/>
              </w:rPr>
              <w:t>12.</w:t>
            </w:r>
          </w:p>
        </w:tc>
        <w:tc>
          <w:tcPr>
            <w:tcW w:w="7818" w:type="dxa"/>
          </w:tcPr>
          <w:p>
            <w:r>
              <w:rPr>
                <w:rFonts w:hint="eastAsia" w:ascii="仿宋_GB2312" w:eastAsia="仿宋_GB2312" w:cs="仿宋_GB2312"/>
                <w:sz w:val="28"/>
                <w:szCs w:val="28"/>
              </w:rPr>
              <w:t xml:space="preserve">深汕合作区管理委员会(苗静),15525726190,0755-22100567,      </w:t>
            </w:r>
          </w:p>
        </w:tc>
      </w:tr>
      <w:tr>
        <w:tc>
          <w:tcPr>
            <w:tcW w:w="469" w:type="dxa"/>
          </w:tcPr>
          <w:p>
            <w:r>
              <w:rPr>
                <w:rFonts w:hint="eastAsia" w:ascii="仿宋_GB2312" w:eastAsia="仿宋_GB2312" w:cs="仿宋_GB2312"/>
                <w:sz w:val="28"/>
                <w:szCs w:val="28"/>
              </w:rPr>
              <w:t>13.</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