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26</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关于推动深圳加快建设更高水平开放型经济新体制的提案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市政协经济委员会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20240247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市地方金融监督管理局,国家金融监督管理总局深圳监管局,人民银行深圳市中心支行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一、背景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习近平总书记在二十届中央全面深化改革委员会第二次会议上强调，“建设更高水平开放型经济新体制是我们主动作为以开放促改革、促发展的战略举措，要围绕服务构建新发展格局，以制度型开放为重点，聚焦投资、贸易、金融、创新等对外交流合作的重点领域深化体制机制改革，完善配套政策措施，积极主动把中国对外开放提高到新水平”。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建设更高水平开放型经济新体制是应对世界百年未有之大变局的关键抓手。面对世界百年未有之大变局加速演进，我们必须因势而谋、应势而动，加快发展更高层次的开放型经济，积极探索对外经济合作的新模式新路径，以对外开放的主动赢得经济发展和国际竞争的主动。在此背景下，推动深圳加快建设更高水平开放型经济新体制，在我国全面扩大开放中展现更大作为和担当具有重大意义。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二、存在的主要不足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（一）利用外资推动制造业高质量发展的作用尚未显现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外商投资是一个国家或地区全球化的重要标志，其对推动区域经济社会发展具有十分重要的作用。2023年1-10月，深圳实际使用外资80.25亿美元。受西方国家制造业回流，产业链向东南亚转移，以及国内城市招商竞争等因素影响，外商对深圳制造业的投资情况不容乐观。2023年1-10月，全市制造业实际使用外资金额170亿元，制造业实际使用外资占比不足三成，利用外资推动制造业高质量发展的作用尚未充分显现，引资结构还需持续优化。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（二）服务贸易发展能级有待提升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运输、旅游和建筑服务等劳动密集型和资源禀赋型部门是深圳服务贸易的主要部门，针对信息服务、科技服务、商务服务等领域的高端外包还有待提升。服务贸易项目和企业主体发展能级不够，缺少具有全球竞争力的大型项目和企业，总体竞争力不强。信息技术外包主要集中在信息基础设施系统运维、软件研发、电子商务平台等领域，业务流程外包和知识流程外包还有较大的提升空间。服务外包目标市场主要以亚洲市场特别是香港地区为主，欧美及其他新兴市场比重较小。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（三）数字贸易治理体系有待健全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近年来，随着数字技术的加速渗透，数字贸易已成为推动全球贸易高质量发展的重要力量，也是未来国际贸易发展的必然趋势。但作为一种贸易新价值创造与交易模式，数字贸易的发展对深圳外贸治理体系提出了新挑战。如，深圳当前还未建立明确、规范的数字贸易统计制度，数字贸易发展规模尚不清晰；对标国际数字贸易规则，深圳在商业和贸易便利化、数字产品市场准入、数据跨境自由流动等方面的能力仍有待提升，这些都对深圳的外贸治理体系提出了挑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（四）外资金融机构集聚水平与上海、北京相比仍有差距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圳虽已形成种类齐全、功能完备的金融机构体系，但与上海、北京相比，深圳外资金融机构的集聚水平仍有待提升，全市外资法人银行数量约为上海的1/4、北京的1/2。2018年我国新一轮金融业对外开放以来，一系列全国“首家”“首批”外资金融机构先后落户上海，包括全国首家外资独资券商、外资保险控股公司、外资独资人身险公司等，全国5家新设外资独资公募基金、国内五大行参与设立的外资控股合资理财公司全部落户上海，总部设在上海的外资法人银行、合资基金管理公司、外资保险公司均占内地总数的一半。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（五）金融风险防范机制有待完善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金融是国家的核心竞争力，金融安全是国家安全的重要组成部分，金融市场越开放，面临的风险也越大。目前，我国正在稳步推进金融市场开放，但深圳金融监管仍主要基于国内传统金融业务的风险防控机制，尚无法适应跨境金融业务的监管要求，相关体制机制尚不完善，金融风险防控面临的压力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建议一、更大力度吸引和利用外资，助力深圳制造业高质量发展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积极落实习近平总书记在第三届“一带一路”国际合作高峰论坛的重要讲话精神，全面取消制造业领域的外资准入限制措施，进一步扩大制造业领域对外开放。二是与境外投资促进机构合作举办深圳国际投资贸易洽谈会，针对“20+8”产业集群，常态化、高标准举办投资促进活动，以制造业为重点吸引外资扩增量稳存量。三是研究出台新一轮外商投资专项促进政策，强化对制造业的政策支持力度，以“真金白银”支持和鼓励外商投资深圳制造业。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建议二、提升服务贸易发展能级，优化深圳外贸发展结构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积极争取国家相关部门支持，聚焦金融、信息服务、科技服务、商务服务、专业服务、知识产权等知识密集型服务贸易，深化规则建设和标准对接，高水平建设国家服务贸易创新发展示范区。二是加快服务贸易主体培育，强化招商引资力度，在深圳聚焦一批具有全球竞争力的服务贸易大项目和大企业。三是参照国家《鼓励进口服务目录》，加快推动研发设计、节能环保、环境服务、检验检测、数据处理以及咨询服务等生产性服务业的进口，培育壮大深圳特色服务贸易。四是做优做强软件开发、信息运营维护、云计算服务等外包业务，拓展供应链管理、工业设计、管理咨询等高端生产性服务业外包。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建议三、建立健全数字贸易治理体系，培育深圳外贸发展新动能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建立健全深圳数字贸易统计制度，依据《国际服务贸易统计监测制度》《服务外包统计调查制度》等相关分类标准以及《数字贸易测度手册》，加快编制深圳数字贸易统计指南。二是定期发布深圳数字贸易发展研究报告（白皮书）和数字贸易“深圳指数”，科学测度和分析深圳数字贸易发展取得成效及存在问题，为高质量推动深圳数字贸易发展提供决策参考。三是加强与国家部委的上下联动，统筹推动深圳国际数字贸易规则对接试点工作，发挥深圳中国特色社会主义先行示范区、自由贸易试验区等政策叠加优势，争取深圳在商业和贸易便利化、数字产品市场准入、数据跨境自由流动等领域取得更大的政策性突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建议四、持续优化营商环境，吸引高水平外资金融机构集聚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优化完善外资金融机构落户支持政策，吸引一批高水平外资金融机构集聚深圳；支持外资金融机构在深不断拓展发展空间，积极争取和推动在深发起设立不设置外资持股比例上限的金融资产投资和理财公司。二是建立外资金融机构精准招商工作例会机制，为重点外资金融项目落户提供政策咨询与协调服务。搭建专业服务团队，为外资金融机构落户提供全程服务支持，为外资金融项目办理工商注册和税务登记提供高效、便捷服务。三是以深圳国际金融博览会为依托，持续提升展会举办能级，努力将其打造成为在全球金融领域具有重要影响力的展会；争取国际金融组织、国家金融监管部门在深举办具有国际影响力的会议论坛，助力深圳建设具有影响力的全球金融创新中心。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建议五、完善金融风险防范机制，稳步有序推进金融对外开放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坚持金融开放与风险防范并重，探索在前海及河套深港科技创新合作区等率先试点跨境金融创新“沙盒监管”管理模式，建设跨境金融创新监管试验区。二是强化与港澳金融监管的合作，推进跨区域支付、托管、清算、统计等金融基础设施建设，完善金融风险监测、预警、排查、研判和应急演练预案等机制，提升跨境金融监管的协同性、前瞻性和有效性。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市政协经济委员会(无),88134497,深圳市上步中路1004号市政协大楼,518006,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人民银行深圳市中心支行(刘倩薇),18312012142,25590240-197,深圳市深南东路5006号中国人民银行大厦,518001</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 xml:space="preserve">国家金融监督管理总局深圳监管局(张宏),13554192235,88283595,深圳市福田区金田路4018号安联大厦31楼3218室,      </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市地方金融监督管理局(王宏伟),13825235964,88127327,市民中心C4062,518036</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