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tbl>
      <w:tblPr>
        <w:tblStyle w:val="TableGrid"/>
        <w:tblW w:w="8222" w:type="dxa"/>
        <w:tblInd w:w="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78"/>
        <w:gridCol w:w="1693"/>
        <w:gridCol w:w="5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34" w:hRule="atLeast"/>
        </w:trPr>
        <w:tc>
          <w:tcPr>
            <w:tcW w:w="678" w:type="dxa"/>
          </w:tcPr>
          <w:p>
            <w:pPr>
              <w:keepNext w:val="0"/>
              <w:keepLines w:val="0"/>
              <w:pageBreakBefore w:val="0"/>
              <w:widowControl w:val="0"/>
              <w:kinsoku/>
              <w:wordWrap/>
              <w:overflowPunct/>
              <w:topLinePunct w:val="0"/>
              <w:autoSpaceDE/>
              <w:autoSpaceDN/>
              <w:bidi w:val="0"/>
              <w:adjustRightInd/>
              <w:snapToGrid/>
              <w:spacing w:line="480" w:lineRule="auto"/>
              <w:ind w:left="0"/>
              <w:jc w:val="center"/>
              <w:textAlignment w:val="auto"/>
              <w:rPr>
                <w:rFonts w:hint="eastAsia" w:eastAsia="华文仿宋"/>
                <w:color w:val="000000" w:themeColor="text1"/>
                <w:sz w:val="32"/>
                <w:szCs w:val="32"/>
                <w:lang w:val="en-US" w:eastAsia="zh-CN"/>
                <w14:textFill>
                  <w14:solidFill>
                    <w14:schemeClr w14:val="tx1"/>
                  </w14:solidFill>
                </w14:textFill>
              </w:rPr>
            </w:pPr>
            <w:r>
              <w:rPr>
                <w:rFonts w:hint="eastAsia" w:ascii="Times New Roman" w:eastAsia="华文仿宋"/>
                <w:color w:val="000000" w:themeColor="text1"/>
                <w:sz w:val="32"/>
                <w:szCs w:val="32"/>
                <w:lang w:val="en-US" w:eastAsia="zh-CN"/>
                <w14:textFill>
                  <w14:solidFill>
                    <w14:schemeClr w14:val="tx1"/>
                  </w14:solidFill>
                </w14:textFill>
              </w:rPr>
              <w:t>21</w:t>
            </w:r>
          </w:p>
        </w:tc>
        <w:tc>
          <w:tcPr>
            <w:tcW w:w="7516" w:type="dxa"/>
            <w:gridSpan w:val="2"/>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eastAsiaTheme="minorEastAsia"/>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关于重点打造口岸带“夜经济”促进深港青年生活圈融合的提案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8"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提 出 人：</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林华明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6"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r>
              <w:rPr>
                <w:rFonts w:hint="eastAsia" w:ascii="黑体" w:eastAsia="黑体"/>
                <w:color w:val="000000" w:themeColor="text1"/>
                <w:sz w:val="32"/>
                <w:szCs w:val="32"/>
                <w:lang w:val="en-US" w:eastAsia="zh-CN"/>
                <w14:textFill>
                  <w14:solidFill>
                    <w14:schemeClr w14:val="tx1"/>
                  </w14:solidFill>
                </w14:textFill>
              </w:rPr>
              <w:t>提 案 号：</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20240153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办理类型：</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分办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主办单位：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市政府口岸办公室,市商务局,市文化广电旅游体育局,市人力资源和社会保障局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会办单位：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华文仿宋" w:hAnsi="华文仿宋"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案由：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案由：中共二十大提出“支持香港、澳门发展经济、改善民生、破解经济社会发展中的深层次矛盾和问题，深化香港、澳门同各国各地区更加开放、更加密切的交往合作。”2023年7月31日，国家发改委发布的《关于恢复和扩大消费措施的通知》中提出“推动夜间文旅消费规范创新发展，建设新型文旅消费集聚区”。深圳特别是罗湖、福田与香港一河之隔，山水相连，与香港北部文锦渡、新界北和粉岭北等新发展区紧密衔接。罗湖、文锦渡、莲塘、福田、皇岗等口岸联通是深港紧密互动圈的重要组成部分。疫情开放后，基于港币升值、内地物价优势等原因，出现了“反向消费”现象，很多港人涌进深圳进行消费休闲。建议深圳把握当下趋势，以打造沙头角、罗湖、福田、皇岗、蛇口为核心的口岸“夜经济”深港生活圈，吸引更多港人消费的同时，承担起深港深度经济文化交流特别是两地青年文化圈融合的重任。</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一、原因和问题分析</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（一）未能充分发挥罗湖、福田、盐田、蛇口等本地特色</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虽然罗湖、福田、蛇口等都在发力口岸消费经济，但发展“夜经济”尚不能形成品牌特色，存在内容同质化现象，无法形成品牌辐射带动的效应。东门老街、皇岗口岸及周边旅游链条延伸不够，没有真正让客户留下来，在夜间行走下来。</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（二）宣传工作力度不足</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随着网络宣传的兴起，新闻宣传的形式日渐丰富，但是宣传的深度和广度依旧是个硬伤，不少新闻宣传过于正式，运用互动性、理论性、吸引力强的宣传方式不够，没有形成类似淄博烧烤的爆点和热点，对香港青年主流人群吸引不足。</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（三）深港互动、合力不够</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以前是深圳人去香港消费，现在是反向消费，存在一边倒的趋势。消费动力主要来源于汇率差，而不是生活方式的融合，深港一家亲、深港生活圈的氛围尚未形成，配套机制未能形成合力。</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（备注：部分建议得到共青团的智力支持）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等线" w:hAnsi="等线" w:eastAsia="等线" w:cs="等线"/>
                <w:color w:val="000000"/>
                <w:sz w:val="32"/>
                <w:szCs w:val="32"/>
              </w:rPr>
            </w:pPr>
            <w:r>
              <w:rPr>
                <w:rFonts w:hint="eastAsia" w:ascii="黑体" w:eastAsia="黑体"/>
                <w:color w:val="000000" w:themeColor="text1"/>
                <w:sz w:val="32"/>
                <w:szCs w:val="32"/>
                <w14:textFill>
                  <w14:solidFill>
                    <w14:schemeClr w14:val="tx1"/>
                  </w14:solidFill>
                </w14:textFill>
              </w:rPr>
              <w:t>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等线" w:hAnsi="等线" w:eastAsia="等线"/>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建议一、搭平台：重点打造口岸带“夜经济”圈，结合本地特色推动“夜经济”文旅融合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将东门老街、沙头角中英街、皇岗、蛇口新街等具有历史文化的商街打造成口岸“夜经济”生活圈，在符合新时代现代化的夜消费需求的同时，不流于市场俗套，形成独特的宣传点，为夜市注入别具一格的历史文化精神吸引更多香港同胞特别青年人班后、周末假期一起来深圳享受夜生活，购购物、吃个饭、撸个串、玩玩密室逃脱。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建议二、抓特色：主打文化、饮食、娱乐、国货、潮货等特色，突出“青春经济”，打造与港生活有差异的特色服务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建议紧扣青春经济特色，差异化推出适合青年喜闻乐见的服务内容，重点打造国货、潮货消费圈，兼顾文化传播，主打性价比，既吸引香港同胞来消费，又增加了香港同胞特别青年对中国创造、中国品牌的认同，增强自豪感和归属感。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建议三、促就业：把握“地摊经济”建设机遇，吸引更多香港青年参与口岸带“夜经济”创业就业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2023年9月1日，新修订的《深圳经济特区市容河环境卫生管理条例》正式施行，摆地摊行为不再被全面禁止，随着新规的开放，更多年轻人走上街头，全职或兼职经营地摊，突破传统青年创业就业模式，不仅是夜经济的消费者，亦是夜经济的建设者，深圳的夜市经济迎来一个新的发展时期。建议出台支持香港青年参与夜经济建设的政策，吸引更多香港青年进来创业、就业，以香港青年吸引香港青年，更好地推动夜经济良性发展。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建议四、做保障：建议在通勤、住房、补贴等方面予以全方位的保障支持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应加快推进各口岸“常旅客”计划，使穿梭于深港两地的学生、商务人士减轻时间代价，让深港同行就像南山到罗湖一样的体验；对两地夜间巴士予以专项补贴，凭消费即可享受交通优惠；加强数字化建设，推出深港消费小程序或平台，让香港同胞线上预约、线下消费；为深港青年提供夜市发展提供平台，为湾区青年提供交流、学习、经商、消费的聚集性场所，打造集工作、生活、休闲于一体的复合空间。</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总之，口岸“夜经济”的兴起不仅促进深港两地交流，快速拉动两地消费、旅游、贸易市场复苏，而且对推动深港老百姓特别是青年的生活融合、文化交流具有重要的战略意义。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br w:type="textWrapping"/>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政协委员通讯录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林华明(男),市义工联理事，中国银行深圳市分行行政事业机构部总经理,13510362372,</w:t>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承办单位通讯录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 xml:space="preserve">市人力资源和社会保障局(刘诗瑶),16620793227,88123785,深圳市福田区深南大道8005号深圳人才园,      </w:t>
            </w:r>
          </w:p>
        </w:tc>
      </w:tr>
      <w:tr>
        <w:tc>
          <w:tcPr>
            <w:tcW w:w="469" w:type="dxa"/>
          </w:tcPr>
          <w:p>
            <w:r>
              <w:rPr>
                <w:rFonts w:hint="eastAsia" w:ascii="仿宋_GB2312" w:eastAsia="仿宋_GB2312" w:cs="仿宋_GB2312"/>
                <w:sz w:val="28"/>
                <w:szCs w:val="28"/>
              </w:rPr>
              <w:t>2.</w:t>
            </w:r>
          </w:p>
        </w:tc>
        <w:tc>
          <w:tcPr>
            <w:tcW w:w="7818" w:type="dxa"/>
          </w:tcPr>
          <w:p>
            <w:r>
              <w:rPr>
                <w:rFonts w:hint="eastAsia" w:ascii="仿宋_GB2312" w:eastAsia="仿宋_GB2312" w:cs="仿宋_GB2312"/>
                <w:sz w:val="28"/>
                <w:szCs w:val="28"/>
              </w:rPr>
              <w:t>市文化广电旅游体育局(李桂元),15501833947,88128090,深圳市福田区福中三路市民中心C区2046室,518035</w:t>
            </w:r>
          </w:p>
        </w:tc>
      </w:tr>
      <w:tr>
        <w:tc>
          <w:tcPr>
            <w:tcW w:w="469" w:type="dxa"/>
          </w:tcPr>
          <w:p>
            <w:r>
              <w:rPr>
                <w:rFonts w:hint="eastAsia" w:ascii="仿宋_GB2312" w:eastAsia="仿宋_GB2312" w:cs="仿宋_GB2312"/>
                <w:sz w:val="28"/>
                <w:szCs w:val="28"/>
              </w:rPr>
              <w:t>3.</w:t>
            </w:r>
          </w:p>
        </w:tc>
        <w:tc>
          <w:tcPr>
            <w:tcW w:w="7818" w:type="dxa"/>
          </w:tcPr>
          <w:p>
            <w:r>
              <w:rPr>
                <w:rFonts w:hint="eastAsia" w:ascii="仿宋_GB2312" w:eastAsia="仿宋_GB2312" w:cs="仿宋_GB2312"/>
                <w:sz w:val="28"/>
                <w:szCs w:val="28"/>
              </w:rPr>
              <w:t>市商务局(杨燕丝),15018508216,88107021,福田区福华一路大中华国际交易广场12楼,518000</w:t>
            </w:r>
          </w:p>
        </w:tc>
      </w:tr>
      <w:tr>
        <w:tc>
          <w:tcPr>
            <w:tcW w:w="469" w:type="dxa"/>
          </w:tcPr>
          <w:p>
            <w:r>
              <w:rPr>
                <w:rFonts w:hint="eastAsia" w:ascii="仿宋_GB2312" w:eastAsia="仿宋_GB2312" w:cs="仿宋_GB2312"/>
                <w:sz w:val="28"/>
                <w:szCs w:val="28"/>
              </w:rPr>
              <w:t>4.</w:t>
            </w:r>
          </w:p>
        </w:tc>
        <w:tc>
          <w:tcPr>
            <w:tcW w:w="7818" w:type="dxa"/>
          </w:tcPr>
          <w:p>
            <w:r>
              <w:rPr>
                <w:rFonts w:hint="eastAsia" w:ascii="仿宋_GB2312" w:eastAsia="仿宋_GB2312" w:cs="仿宋_GB2312"/>
                <w:sz w:val="28"/>
                <w:szCs w:val="28"/>
              </w:rPr>
              <w:t>市政府口岸办公室(田耕),17727466510,福田区莲花街道福新社区鹏程一路9号广电金融中心西辅楼6-9层 ,</w:t>
            </w:r>
          </w:p>
        </w:tc>
      </w:tr>
    </w:tbl>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lYzhjNjM5MmQ5NWFjOTZkMDY3ZGQzM2E4YzI1NjAifQ=="/>
  </w:docVars>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E6055"/>
    <w:rsid w:val="08CE6F70"/>
    <w:rsid w:val="0FD27D79"/>
    <w:rsid w:val="134F76DA"/>
    <w:rsid w:val="13E3273E"/>
    <w:rsid w:val="13F803AD"/>
    <w:rsid w:val="169D5372"/>
    <w:rsid w:val="20AD64FF"/>
    <w:rsid w:val="2192492D"/>
    <w:rsid w:val="25F80A39"/>
    <w:rsid w:val="2B8A6344"/>
    <w:rsid w:val="2E59180F"/>
    <w:rsid w:val="373B464F"/>
    <w:rsid w:val="3F5E17DA"/>
    <w:rsid w:val="44360900"/>
    <w:rsid w:val="4E8D4E8C"/>
    <w:rsid w:val="4EE062F9"/>
    <w:rsid w:val="514C5B9B"/>
    <w:rsid w:val="54992EC7"/>
    <w:rsid w:val="58FB2054"/>
    <w:rsid w:val="5EA62400"/>
    <w:rsid w:val="6ADA0666"/>
    <w:rsid w:val="70A46629"/>
    <w:rsid w:val="79EF7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Light Shading Accent 2"/>
    <w:autoRedefine/>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6"/>
    <w:semiHidden/>
    <w:qFormat/>
    <w:uiPriority w:val="99"/>
    <w:rPr>
      <w:b/>
      <w:bCs/>
    </w:rPr>
  </w:style>
  <w:style w:type="character" w:customStyle="1" w:styleId="16">
    <w:name w:val="批注框文本 字符"/>
    <w:basedOn w:val="10"/>
    <w:link w:val="3"/>
    <w:semiHidden/>
    <w:qFormat/>
    <w:uiPriority w:val="99"/>
    <w:rPr>
      <w:sz w:val="18"/>
      <w:szCs w:val="18"/>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unnamedxuan</Company>
  <Pages>1</Pages>
  <Words>39</Words>
  <Characters>41</Characters>
  <Lines>1</Lines>
  <Paragraphs>1</Paragraphs>
  <TotalTime>0</TotalTime>
  <ScaleCrop>false</ScaleCrop>
  <LinksUpToDate>false</LinksUpToDate>
  <CharactersWithSpaces>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2014-03-05T06:43:00Z</dcterms:created>
  <dc:creator>unnamedxuan@qq.com</dc:creator>
  <cp:lastModifiedBy>lenovo</cp:lastModifiedBy>
  <dcterms:modified xsi:type="dcterms:W3CDTF">2024-06-24T03:05:11Z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22EB438B6E71432982BA343865294FE5</vt:lpwstr>
  </property>
</Properties>
</file>