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14</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关于打造绿色国际航运燃料加注中心的建议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高海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20240117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市发展和改革委员会,深圳海事局,盐田区人民政府,市商务局,市应急管理局,市财政局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一、基本情况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国际航运燃料加注中心是通过保税燃油及液化天然气（LNG）、甲醇、氢、氨、生物燃料等为代表的低碳/零碳燃料为船舶提供丰富燃料加注品种的立体化国际航运服务平台。深圳未来将从燃料层面为航运绿色低碳发展提供更多可能性，不断提升深圳国际航运服务中心能级。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2020年10月，深圳综改实施方案中明确赋予深圳国际航行船舶保税加油许可权。2021年6月，深圳港集团获得深圳市第一张国际航行船舶保税燃料油经营许可批准证书，并完成首船加注任务。2022年11月22日，深圳港集团完成国际航行船舶华南片区LNG首船加注作业，该事项入选“深圳市2022年度改革发展十件大事”。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在全球航运业的脱碳趋势下，LNG动力船舶、甲醇动力船舶未来将快速增长，氨、氢等新能源也在持续探索。根据预测，未来十年LNG船舶数量将快速增长，加注需求将成倍增加，同时甲醇船舶发展趋势之快、潜力之大远超预期。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盐田区坐拥世界级天然深水良港盐田港，国际航线发达，近年来全力推动保税LNG加注试点，大力开展保税燃料加注，致力打造媲美荷兰鹿特丹港、新加坡港的国际航运燃料加注中心，正在加快盐田建设深圳全球海洋中心城市核心区、助力深圳建设全球海洋中心城市。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二、存在问题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是加注中心项目建设关注度不足。国际航运新燃料加注业务不仅是国际海事服务的重要组成部分，也是衡量港口国际化水平和配套服务水平的重要指标。深圳在落实综改任务的进程中，力争形成千亿级的航运燃料加注产业，助力建设全球海洋中心城市。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是能源加注业务受政策影响较大。深圳各级海关实行的“强监管”政策，制约了业务规模的增长。深圳海事局暂未开放锚地LNG加注作业权限，导致LNG加注业务的市场拓展受到制约。国内甲醇加注业务相关政策的及时完善，将成为甲醇加注业务顺利开展的重要前提。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三是新能源业务布局规划周期较长。甲醇加注业务相关标准规范和许可政策尚不完善，甲醇加注业务前期面临亏损问题，后续实现甲醇加注、探索全产业链布局所需周期较长。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建议一、列入全市重大项目，保障绿色国际航运燃料加注中心快速推进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为保障加注中心稳步推进，提升深圳国际航运服务中心能级，将加注中心事项列入全市重大项目名录当中。二是结合港口资源与加注业务优势，将盐田区定为加注中心落地区。三是深圳发挥综改试点优势，将加注中心项目涉及政策突破事项列入综改项目清单。四是加强与大亚湾石化工业区等联动，开展燃料采购、装卸、存储、运输、加注供给，等粤港澳大湾区油气产业链布局和协调。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建议二、研究制定新燃料加注业务支持及补贴政策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参考LNG加注的许可模式，出台甲醇加注试点政策及许可政策，明确开展甲醇加注所需的资质文件及办理路径。二是实现甲醇以燃料名义出口。因商务部的出口目录问题，当前甲醇仅能作为化学品出口，暂无法作为船舶燃料出口。三是出台甲醇加注补贴政策，包括加注补贴、化学品运输船及储罐租赁补贴等一揽子政策，为深圳周边地区建立绿色甲醇生产基地提供土地和政策支持，从而降低甲醇业务布局规划周期较长所造成的前期持续亏损，支持绿色甲醇加注业务在深圳长期可持续发展，并争取在深圳港建立完整的港口航运绿色能源产供销体系，形成完整的新能源产业链。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建议三、协调新燃料加注业务海事相关政策支持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一是开放现有锚地LNG船舶加注作业权限。部分船型无法靠泊深圳集装箱码头进行锚地加注作业，目前新加坡、鹿特丹上海、宁波、广州均开放锚地为上述各类船舶提供LNG加注服务。二是制订深圳市的甲醇加注安全管理办法、应急预案管理办法等监管政策。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高海(男),深圳市坪山区城市更新局局长,13823778990,82485709,罗湖区笋岗路12号中民时代广场B座3011,</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盐田区人民政府(徐书豪),15626522969,25482009,盐田区沙盐路2088号,518090</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深圳海事局(陈梦玲),13420953685,83797087,深圳市滨河路2031号海安中心,518032</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市发展和改革委员会(庞巧娟),18718574911,88127783,福田区市民中心C3078,518035</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市财政局(李斯逸),13418553300,83933151,深圳市福田区景田东路九号,518034</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市交通运输局(黄小桐),18174590856,83168021,深圳市福田区竹子林公路主枢纽管理控制中心,518040</w:t>
            </w:r>
          </w:p>
        </w:tc>
      </w:tr>
      <w:tr>
        <w:tc>
          <w:tcPr>
            <w:tcW w:w="469" w:type="dxa"/>
          </w:tcPr>
          <w:p>
            <w:r>
              <w:rPr>
                <w:rFonts w:hint="eastAsia" w:ascii="仿宋_GB2312" w:eastAsia="仿宋_GB2312" w:cs="仿宋_GB2312"/>
                <w:sz w:val="28"/>
                <w:szCs w:val="28"/>
              </w:rPr>
              <w:t>6.</w:t>
            </w:r>
          </w:p>
        </w:tc>
        <w:tc>
          <w:tcPr>
            <w:tcW w:w="7818" w:type="dxa"/>
          </w:tcPr>
          <w:p>
            <w:r>
              <w:rPr>
                <w:rFonts w:hint="eastAsia" w:ascii="仿宋_GB2312" w:eastAsia="仿宋_GB2312" w:cs="仿宋_GB2312"/>
                <w:sz w:val="28"/>
                <w:szCs w:val="28"/>
              </w:rPr>
              <w:t>市应急管理局(叶偲儒),13510672992,88120374,深圳市福田区福中三路市民中心C区1楼,518034</w:t>
            </w:r>
          </w:p>
        </w:tc>
      </w:tr>
      <w:tr>
        <w:tc>
          <w:tcPr>
            <w:tcW w:w="469" w:type="dxa"/>
          </w:tcPr>
          <w:p>
            <w:r>
              <w:rPr>
                <w:rFonts w:hint="eastAsia" w:ascii="仿宋_GB2312" w:eastAsia="仿宋_GB2312" w:cs="仿宋_GB2312"/>
                <w:sz w:val="28"/>
                <w:szCs w:val="28"/>
              </w:rPr>
              <w:t>7.</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