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bookmarkStart w:id="0" w:name="_GoBack"/>
      <w:bookmarkEnd w:id="0"/>
    </w:p>
    <w:sectPr>
      <w:footerReference r:id="rId3" w:type="default"/>
      <w:pgSz w:w="11906" w:h="16838"/>
      <w:pgMar w:top="1440" w:right="1800" w:bottom="1440" w:left="1800" w:header="851" w:footer="992" w:gutter="0"/>
      <w:pgNumType w:fmt="decimal" w:start="1"/>
      <w:cols w:space="425" w:num="1"/>
      <w:docGrid w:type="lines" w:linePitch="312" w:charSpace="0"/>
    </w:sectPr>
    <w:tbl>
      <w:tblPr>
        <w:tblStyle w:val="TableGrid"/>
        <w:tblW w:w="8222" w:type="dxa"/>
        <w:tblInd w:w="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78"/>
        <w:gridCol w:w="1693"/>
        <w:gridCol w:w="58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34" w:hRule="atLeast"/>
        </w:trPr>
        <w:tc>
          <w:tcPr>
            <w:tcW w:w="678" w:type="dxa"/>
          </w:tcPr>
          <w:p>
            <w:pPr>
              <w:keepNext w:val="0"/>
              <w:keepLines w:val="0"/>
              <w:pageBreakBefore w:val="0"/>
              <w:widowControl w:val="0"/>
              <w:kinsoku/>
              <w:wordWrap/>
              <w:overflowPunct/>
              <w:topLinePunct w:val="0"/>
              <w:autoSpaceDE/>
              <w:autoSpaceDN/>
              <w:bidi w:val="0"/>
              <w:adjustRightInd/>
              <w:snapToGrid/>
              <w:spacing w:line="480" w:lineRule="auto"/>
              <w:ind w:left="0"/>
              <w:jc w:val="center"/>
              <w:textAlignment w:val="auto"/>
              <w:rPr>
                <w:rFonts w:hint="eastAsia" w:eastAsia="华文仿宋"/>
                <w:color w:val="000000" w:themeColor="text1"/>
                <w:sz w:val="32"/>
                <w:szCs w:val="32"/>
                <w:lang w:val="en-US" w:eastAsia="zh-CN"/>
                <w14:textFill>
                  <w14:solidFill>
                    <w14:schemeClr w14:val="tx1"/>
                  </w14:solidFill>
                </w14:textFill>
              </w:rPr>
            </w:pPr>
            <w:r>
              <w:rPr>
                <w:rFonts w:hint="eastAsia" w:ascii="Times New Roman" w:eastAsia="华文仿宋"/>
                <w:color w:val="000000" w:themeColor="text1"/>
                <w:sz w:val="32"/>
                <w:szCs w:val="32"/>
                <w:lang w:val="en-US" w:eastAsia="zh-CN"/>
                <w14:textFill>
                  <w14:solidFill>
                    <w14:schemeClr w14:val="tx1"/>
                  </w14:solidFill>
                </w14:textFill>
              </w:rPr>
              <w:t>12</w:t>
            </w:r>
          </w:p>
        </w:tc>
        <w:tc>
          <w:tcPr>
            <w:tcW w:w="7516" w:type="dxa"/>
            <w:gridSpan w:val="2"/>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eastAsiaTheme="minorEastAsia"/>
                <w:color w:val="000000" w:themeColor="text1"/>
                <w:sz w:val="32"/>
                <w:szCs w:val="32"/>
                <w:lang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关于深化两岸融合交流推动深圳电子信息制造业高质量发展的提案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58"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提 出 人：</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台盟深圳市委会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6"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r>
              <w:rPr>
                <w:rFonts w:hint="eastAsia" w:ascii="黑体" w:eastAsia="黑体"/>
                <w:color w:val="000000" w:themeColor="text1"/>
                <w:sz w:val="32"/>
                <w:szCs w:val="32"/>
                <w:lang w:val="en-US" w:eastAsia="zh-CN"/>
                <w14:textFill>
                  <w14:solidFill>
                    <w14:schemeClr w14:val="tx1"/>
                  </w14:solidFill>
                </w14:textFill>
              </w:rPr>
              <w:t>提 案 号：</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20240100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1"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办理类型：</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主办会办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主办单位：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市委台办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会办单位：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市工业和信息化局,市商务局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3"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华文仿宋" w:hAnsi="华文仿宋"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案由：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习近平总书记强调，两岸经济同属中华民族经济，实现中华民族伟大复兴为两岸经济合作开辟广阔空间。党的二十大报告提出，“继续致力于促进两岸经济文化交流合作，深化两岸各领域融合发展，完善增进台湾同胞福祉的制度和政策”。当前台企在大陆的投资中，制造业占比超过70%，两岸贸易中机电产品占比超过80%。两岸电子信息领域合作的产业链、供应链已深度相嵌、深度契合，互补互利格局已经形成，两岸电子信息产业融合发展，有利于推动深圳电子信息制造向更高水平迈进。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一、深台电子信息制造企业融合发展的基本情况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电子信息产业是深圳市支柱产业，产业基础良好、发展势头强劲。2022年深圳市电子信息制造业产值达2.48万亿元、增长2.9%，约占全国行业总规模的1/6，广东的1/2，稳居全国大中城市首位。在深圳20大战略性新兴产业集群中，有5个是电子信息领域的集群。台资制造企业为深圳的电子信息产业做出了重要贡献。主要体现在三个方面：一是丰富了深圳电子工业的产业门类，台资的进入做大了深圳电子信息产业规模，培训了电子技术工人，沉淀了产业资本。二是台企为深圳电子信息产业与全球电子信息产业架起了桥梁，形成欧美-台湾-深圳的全球价值链双向嵌套。三是富士康等龙头台资企业带动了深圳电子信息产业集聚发展。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二、深台电子信息制造业融合发展面临的困难及原因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电子信息制造业是两岸交流合作最为深入、融合发展前景最为广阔的领域，在全球经济整体形势下行趋势的影响下，终端消费市场进一步萎缩，加之人力、生产成本持续上升，深台电子信息产业的融合发展面临综合性不利因素，亟待高度重视。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一）受美西方“脱钩断链”战略的冲击，电子信息制造类企业外迁情况愈发明显。调研了解到，目前已经出现不少企业把产能向东南亚、印度、墨西哥等地外移或向岛内回流的情况。一是欧美主要大客户以订单为条件，胁迫产品制造地非大陆化。不少电子信息制造业海外市场占比在70%以上，美国的苹果、惠普、戴尔等品牌企业要求在大陆区域外建厂接单，并必须在2025年至2027年完成。二是加增关税措施迫使企业外迁。按照美国“301条款”，对绝大部分大陆生产的电子信息产品加增25%特别关税，相关企业只能加快海外布局产能以规避关税影响。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二）台企融入大陆内循环面临诸多障碍。一是市场转向问题突出。台资制造业传统市场大都在海外，外向型企业居多，在海外订单断崖式下降的背景下，短期内融入大陆内循环面临不少困难。二是市场准入限制。受国家信创工程的影响，台企普遍反映，尽管有的产品不在大陆政府采购项目负面清单之列，但实际操作过程中，采购单位往往将安全问题泛化，对涉台企业产品采取“一刀切”的做法，相关企业在投标问题上不同程度面临“玻璃门”现象。三是台资企业与大陆企业合作的相关政策措施、合作机制不完善，隐形壁垒依然存在。具体体现在股权合作、技术合作、投融资等方面，制约了两岸相关企业的融合发展。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三）电子信息制造业“内卷化”现象明显。一是市场内卷。受疫情和国际电子终端消费市场影响，不少电子信息制造业都存在压货的情况。目前，终端消费市场萎缩、库存过大，出现了杀价销库存的现象，部分产品价格下跌20%以上。二是招商引资内卷。外地招商团队长期驻深“招商引资”。通过定向补贴、土地税收优惠等方式，吸引其前往内地投资，未考虑相关产业与当地的互补及可持续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7"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等线" w:hAnsi="等线" w:eastAsia="等线" w:cs="等线"/>
                <w:color w:val="000000"/>
                <w:sz w:val="32"/>
                <w:szCs w:val="32"/>
              </w:rPr>
            </w:pPr>
            <w:r>
              <w:rPr>
                <w:rFonts w:hint="eastAsia" w:ascii="黑体" w:eastAsia="黑体"/>
                <w:color w:val="000000" w:themeColor="text1"/>
                <w:sz w:val="32"/>
                <w:szCs w:val="32"/>
                <w14:textFill>
                  <w14:solidFill>
                    <w14:schemeClr w14:val="tx1"/>
                  </w14:solidFill>
                </w14:textFill>
              </w:rPr>
              <w:t>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等线" w:hAnsi="等线" w:eastAsia="等线"/>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    建议一、市委市政府层面牵头建立电子信息制造业高质量发展工作专班。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深圳台资电子制造业不仅对深圳产业发展具有基础性、引领性的地位，特别是在中美科技战、贸易战在背景下，全省乃至国家以深化两岸电子信息产业合作以消抵美西方对我电子信息产业的围堵与遏阻具有重要的战略意义。工作专班可着眼以下几个方面的工作：一是摸清家底。对在深台资电子信息制造业的基本情况进行梳理，做到企业分类情况清晰、产业布局心中有数、产业链上下游情况基本掌握、内销外销情况动态跟踪。二是前瞻规划。针对在深台资企业进行统筹规划。对于低端产业，顺势引导向内陆梯次转移；对于台资重点代工制造企业，综合施策尽可能延缓其外迁进程；对于关键零部件、核心零组件等相关企业，从产业政策、税收优惠、科技联合攻关等多个方面稳定企业发展、支持企业创新，特别是引导企业在兼顾国际市场的同时针对大陆市场进行产品定位和转型。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建议二、在国家层面争取进一步政策支持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鉴于深圳台资电子制造业在全国电子制造业的影响，要进一步发挥龙头带动作用，需要争取国家层面的支持。一是争取国家相关部门在深设立“部省际联系会议机制”，目前苏州昆山已经受益该机制多年。这一机制是国家推进重大战略、综合性项目的重要抓手，可以较好地将地方层面实践中的突出问题与部省际层面政策支持紧密结合，形成上下协调的合力。二是国家层面推动东中西区域产业有序转移机制。有关电子信息制造业的市场内卷和招商引资内卷愈演愈烈，根本上问题在于产业布局不清晰、招商引资混乱无序。建议争取发改委、工信部、商务部等支持，在国家层面建立东中西部有序转移机制，推动台资电子制造业有序梯次转移，有利于降低土地、人工、房租等成本，为留住更多台资企业腾出空间和时间。同时在这一引导机制之下，探索建立在深企业与外迁企业所在地之间在税收分成、指标考核等方面形成良性互动机制。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建议三、鼓励和支持深圳台资电子信息制造企业融入内循环。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一是强化台胞“同等待遇”落地，进一步细化和拓展台资企业行业准入，支持台企开拓内销市场，鼓励台企发展跨境电商模式，开展线上营销，拓宽对接内需市场的渠道。二是强化服务意识，掌握当前台资企业面临的困难和形势，帮扶台商解决厂房搬迁扩建、融资、人才引进等实际问题，体现支持台企发展的态度和情感。三是搭建服务平台，创新合作机制，促进台企和陆企的合作共赢。通过创建“政府牵线、企业合作、共寻市场”的平台，推动台企与陆企在上下游采供、技术共研、联合融资、交叉持股、新兴产业等方面合作，共同创建更具国际竞争力的产业品牌。四是通过两岸产业合作园、涉台产业园加强供应链合作，将电子信息产业列为重要合作内容，促进电子信息产业集群发展，进一步完善深圳电子信息制造业产业链和供应链。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br w:type="textWrapping"/>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政协委员通讯录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台盟深圳市委会(无),88134558,深圳市上步中路1004号市政协大楼518室,518006,</w:t>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承办单位通讯录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市委台办(史嘉涛),13760125538,88132504,深圳市福田区上步中路1023号市府二办6楼,518006</w:t>
            </w:r>
          </w:p>
        </w:tc>
      </w:tr>
      <w:tr>
        <w:tc>
          <w:tcPr>
            <w:tcW w:w="469" w:type="dxa"/>
          </w:tcPr>
          <w:p>
            <w:r>
              <w:rPr>
                <w:rFonts w:hint="eastAsia" w:ascii="仿宋_GB2312" w:eastAsia="仿宋_GB2312" w:cs="仿宋_GB2312"/>
                <w:sz w:val="28"/>
                <w:szCs w:val="28"/>
              </w:rPr>
              <w:t>2.</w:t>
            </w:r>
          </w:p>
        </w:tc>
        <w:tc>
          <w:tcPr>
            <w:tcW w:w="7818" w:type="dxa"/>
          </w:tcPr>
          <w:p>
            <w:r>
              <w:rPr>
                <w:rFonts w:hint="eastAsia" w:ascii="仿宋_GB2312" w:eastAsia="仿宋_GB2312" w:cs="仿宋_GB2312"/>
                <w:sz w:val="28"/>
                <w:szCs w:val="28"/>
              </w:rPr>
              <w:t>市工业和信息化局(潘洋),18118783860,88101827,福田区福中三路市民中心三楼,518036</w:t>
            </w:r>
          </w:p>
        </w:tc>
      </w:tr>
      <w:tr>
        <w:tc>
          <w:tcPr>
            <w:tcW w:w="469" w:type="dxa"/>
          </w:tcPr>
          <w:p>
            <w:r>
              <w:rPr>
                <w:rFonts w:hint="eastAsia" w:ascii="仿宋_GB2312" w:eastAsia="仿宋_GB2312" w:cs="仿宋_GB2312"/>
                <w:sz w:val="28"/>
                <w:szCs w:val="28"/>
              </w:rPr>
              <w:t>3.</w:t>
            </w:r>
          </w:p>
        </w:tc>
        <w:tc>
          <w:tcPr>
            <w:tcW w:w="7818" w:type="dxa"/>
          </w:tcPr>
          <w:p>
            <w:r>
              <w:rPr>
                <w:rFonts w:hint="eastAsia" w:ascii="仿宋_GB2312" w:eastAsia="仿宋_GB2312" w:cs="仿宋_GB2312"/>
                <w:sz w:val="28"/>
                <w:szCs w:val="28"/>
              </w:rPr>
              <w:t>市商务局(杨燕丝),15018508216,88107021,福田区福华一路大中华国际交易广场12楼,518000</w:t>
            </w:r>
          </w:p>
        </w:tc>
      </w:tr>
    </w:tbl>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lYzhjNjM5MmQ5NWFjOTZkMDY3ZGQzM2E4YzI1NjAifQ=="/>
  </w:docVars>
  <w:rsids>
    <w:rsidRoot w:val="000D41E6"/>
    <w:rsid w:val="00042432"/>
    <w:rsid w:val="000D41E6"/>
    <w:rsid w:val="001114EC"/>
    <w:rsid w:val="00147BCA"/>
    <w:rsid w:val="00166A4D"/>
    <w:rsid w:val="001A0FF8"/>
    <w:rsid w:val="001C3C90"/>
    <w:rsid w:val="002031D5"/>
    <w:rsid w:val="00227F39"/>
    <w:rsid w:val="00236E41"/>
    <w:rsid w:val="00260F67"/>
    <w:rsid w:val="002914C5"/>
    <w:rsid w:val="002C0D47"/>
    <w:rsid w:val="00310FF0"/>
    <w:rsid w:val="00334546"/>
    <w:rsid w:val="003911DC"/>
    <w:rsid w:val="003A2443"/>
    <w:rsid w:val="003D7F99"/>
    <w:rsid w:val="0044291E"/>
    <w:rsid w:val="004C0288"/>
    <w:rsid w:val="004C293B"/>
    <w:rsid w:val="004C7B0D"/>
    <w:rsid w:val="004E154D"/>
    <w:rsid w:val="004E6A0C"/>
    <w:rsid w:val="004F68A2"/>
    <w:rsid w:val="005B6100"/>
    <w:rsid w:val="00602884"/>
    <w:rsid w:val="00673758"/>
    <w:rsid w:val="006A7092"/>
    <w:rsid w:val="00732C1E"/>
    <w:rsid w:val="00793158"/>
    <w:rsid w:val="00797A98"/>
    <w:rsid w:val="007E338C"/>
    <w:rsid w:val="008144F1"/>
    <w:rsid w:val="0083551E"/>
    <w:rsid w:val="008D308A"/>
    <w:rsid w:val="008E4222"/>
    <w:rsid w:val="008F421A"/>
    <w:rsid w:val="0092585E"/>
    <w:rsid w:val="00935CC5"/>
    <w:rsid w:val="00941347"/>
    <w:rsid w:val="00967712"/>
    <w:rsid w:val="00994498"/>
    <w:rsid w:val="009C485E"/>
    <w:rsid w:val="009E2147"/>
    <w:rsid w:val="00A34BBB"/>
    <w:rsid w:val="00A82B87"/>
    <w:rsid w:val="00A9009C"/>
    <w:rsid w:val="00AD0C0A"/>
    <w:rsid w:val="00AD26F5"/>
    <w:rsid w:val="00AD367B"/>
    <w:rsid w:val="00B21855"/>
    <w:rsid w:val="00B27728"/>
    <w:rsid w:val="00B30441"/>
    <w:rsid w:val="00B447A8"/>
    <w:rsid w:val="00B61CC8"/>
    <w:rsid w:val="00B6488E"/>
    <w:rsid w:val="00BA05D7"/>
    <w:rsid w:val="00BA78B0"/>
    <w:rsid w:val="00C249E2"/>
    <w:rsid w:val="00C542F7"/>
    <w:rsid w:val="00C6715C"/>
    <w:rsid w:val="00C74D4D"/>
    <w:rsid w:val="00CB7179"/>
    <w:rsid w:val="00D30A2D"/>
    <w:rsid w:val="00D604D5"/>
    <w:rsid w:val="00D82E5F"/>
    <w:rsid w:val="00D922D5"/>
    <w:rsid w:val="00DB7E1D"/>
    <w:rsid w:val="00E63E06"/>
    <w:rsid w:val="00F0289C"/>
    <w:rsid w:val="00F336A0"/>
    <w:rsid w:val="00F50B82"/>
    <w:rsid w:val="00F87CE5"/>
    <w:rsid w:val="00FE6055"/>
    <w:rsid w:val="08CE6F70"/>
    <w:rsid w:val="0FD27D79"/>
    <w:rsid w:val="134F76DA"/>
    <w:rsid w:val="13E3273E"/>
    <w:rsid w:val="13F803AD"/>
    <w:rsid w:val="169D5372"/>
    <w:rsid w:val="20AD64FF"/>
    <w:rsid w:val="2192492D"/>
    <w:rsid w:val="25F80A39"/>
    <w:rsid w:val="2B8A6344"/>
    <w:rsid w:val="2E59180F"/>
    <w:rsid w:val="373B464F"/>
    <w:rsid w:val="3F5E17DA"/>
    <w:rsid w:val="44360900"/>
    <w:rsid w:val="4E8D4E8C"/>
    <w:rsid w:val="4EE062F9"/>
    <w:rsid w:val="514C5B9B"/>
    <w:rsid w:val="54992EC7"/>
    <w:rsid w:val="58FB2054"/>
    <w:rsid w:val="5EA62400"/>
    <w:rsid w:val="6ADA0666"/>
    <w:rsid w:val="70A46629"/>
    <w:rsid w:val="79EF7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autoRedefine/>
    <w:semiHidden/>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3"/>
    <w:autoRedefine/>
    <w:unhideWhenUsed/>
    <w:qFormat/>
    <w:uiPriority w:val="99"/>
    <w:pPr>
      <w:tabs>
        <w:tab w:val="center" w:pos="4153"/>
        <w:tab w:val="right" w:pos="8306"/>
      </w:tabs>
      <w:snapToGrid w:val="0"/>
      <w:jc w:val="left"/>
    </w:pPr>
    <w:rPr>
      <w:sz w:val="18"/>
      <w:szCs w:val="18"/>
    </w:rPr>
  </w:style>
  <w:style w:type="paragraph" w:styleId="5">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
    <w:name w:val="Light Shading Accent 2"/>
    <w:autoRedefine/>
    <w:qFormat/>
    <w:uiPriority w:val="60"/>
    <w:rPr>
      <w:color w:val="C55A11" w:themeColor="accent2" w:themeShade="BF"/>
    </w:rPr>
    <w:tblPr>
      <w:tblBorders>
        <w:top w:val="single" w:color="ED7D31" w:themeColor="accent2" w:sz="8" w:space="0"/>
        <w:bottom w:val="single" w:color="ED7D31"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5"/>
    <w:qFormat/>
    <w:uiPriority w:val="99"/>
    <w:rPr>
      <w:sz w:val="18"/>
      <w:szCs w:val="18"/>
    </w:rPr>
  </w:style>
  <w:style w:type="character" w:customStyle="1" w:styleId="13">
    <w:name w:val="页脚 字符"/>
    <w:basedOn w:val="10"/>
    <w:link w:val="4"/>
    <w:qFormat/>
    <w:uiPriority w:val="99"/>
    <w:rPr>
      <w:sz w:val="18"/>
      <w:szCs w:val="18"/>
    </w:rPr>
  </w:style>
  <w:style w:type="character" w:customStyle="1" w:styleId="14">
    <w:name w:val="批注文字 字符"/>
    <w:basedOn w:val="10"/>
    <w:link w:val="2"/>
    <w:semiHidden/>
    <w:qFormat/>
    <w:uiPriority w:val="99"/>
  </w:style>
  <w:style w:type="character" w:customStyle="1" w:styleId="15">
    <w:name w:val="批注主题 字符"/>
    <w:basedOn w:val="14"/>
    <w:link w:val="6"/>
    <w:semiHidden/>
    <w:qFormat/>
    <w:uiPriority w:val="99"/>
    <w:rPr>
      <w:b/>
      <w:bCs/>
    </w:rPr>
  </w:style>
  <w:style w:type="character" w:customStyle="1" w:styleId="16">
    <w:name w:val="批注框文本 字符"/>
    <w:basedOn w:val="10"/>
    <w:link w:val="3"/>
    <w:semiHidden/>
    <w:qFormat/>
    <w:uiPriority w:val="99"/>
    <w:rPr>
      <w:sz w:val="18"/>
      <w:szCs w:val="18"/>
    </w:rPr>
  </w:style>
  <w:style w:type="table" w:styleId="TableGrid">
    <w:name w:val="Table Grid"/>
    <w:basedOn w:val="TableNormal"/>
    <w:uiPriority w:val="59"/>
    <w:rsid w:val="008D01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unnamedxuan</Company>
  <Pages>1</Pages>
  <Words>39</Words>
  <Characters>41</Characters>
  <Lines>1</Lines>
  <Paragraphs>1</Paragraphs>
  <TotalTime>0</TotalTime>
  <ScaleCrop>false</ScaleCrop>
  <LinksUpToDate>false</LinksUpToDate>
  <CharactersWithSpaces>45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2014-03-05T06:43:00Z</dcterms:created>
  <dc:creator>unnamedxuan@qq.com</dc:creator>
  <cp:lastModifiedBy>lenovo</cp:lastModifiedBy>
  <dcterms:modified xsi:type="dcterms:W3CDTF">2024-06-24T03:05:11Z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22EB438B6E71432982BA343865294FE5</vt:lpwstr>
  </property>
</Properties>
</file>