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bookmarkStart w:id="0" w:name="_GoBack"/>
      <w:bookmarkEnd w:id="0"/>
    </w:p>
    <w:sectPr>
      <w:footerReference r:id="rId3" w:type="default"/>
      <w:pgSz w:w="11906" w:h="16838"/>
      <w:pgMar w:top="1440" w:right="1800" w:bottom="1440" w:left="1800" w:header="851" w:footer="992" w:gutter="0"/>
      <w:pgNumType w:fmt="decimal" w:start="1"/>
      <w:cols w:space="425" w:num="1"/>
      <w:docGrid w:type="lines" w:linePitch="312" w:charSpace="0"/>
    </w:sectPr>
    <w:tbl>
      <w:tblPr>
        <w:tblStyle w:val="TableGrid"/>
        <w:tblW w:w="8222" w:type="dxa"/>
        <w:tblInd w:w="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78"/>
        <w:gridCol w:w="1693"/>
        <w:gridCol w:w="58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34" w:hRule="atLeast"/>
        </w:trPr>
        <w:tc>
          <w:tcPr>
            <w:tcW w:w="678" w:type="dxa"/>
          </w:tcPr>
          <w:p>
            <w:pPr>
              <w:keepNext w:val="0"/>
              <w:keepLines w:val="0"/>
              <w:pageBreakBefore w:val="0"/>
              <w:widowControl w:val="0"/>
              <w:kinsoku/>
              <w:wordWrap/>
              <w:overflowPunct/>
              <w:topLinePunct w:val="0"/>
              <w:autoSpaceDE/>
              <w:autoSpaceDN/>
              <w:bidi w:val="0"/>
              <w:adjustRightInd/>
              <w:snapToGrid/>
              <w:spacing w:line="480" w:lineRule="auto"/>
              <w:ind w:left="0"/>
              <w:jc w:val="center"/>
              <w:textAlignment w:val="auto"/>
              <w:rPr>
                <w:rFonts w:hint="eastAsia" w:eastAsia="华文仿宋"/>
                <w:color w:val="000000" w:themeColor="text1"/>
                <w:sz w:val="32"/>
                <w:szCs w:val="32"/>
                <w:lang w:val="en-US" w:eastAsia="zh-CN"/>
                <w14:textFill>
                  <w14:solidFill>
                    <w14:schemeClr w14:val="tx1"/>
                  </w14:solidFill>
                </w14:textFill>
              </w:rPr>
            </w:pPr>
            <w:r>
              <w:rPr>
                <w:rFonts w:hint="eastAsia" w:ascii="Times New Roman" w:eastAsia="华文仿宋"/>
                <w:color w:val="000000" w:themeColor="text1"/>
                <w:sz w:val="32"/>
                <w:szCs w:val="32"/>
                <w:lang w:val="en-US" w:eastAsia="zh-CN"/>
                <w14:textFill>
                  <w14:solidFill>
                    <w14:schemeClr w14:val="tx1"/>
                  </w14:solidFill>
                </w14:textFill>
              </w:rPr>
              <w:t>9</w:t>
            </w:r>
          </w:p>
        </w:tc>
        <w:tc>
          <w:tcPr>
            <w:tcW w:w="7516" w:type="dxa"/>
            <w:gridSpan w:val="2"/>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eastAsiaTheme="minorEastAsia"/>
                <w:color w:val="000000" w:themeColor="text1"/>
                <w:sz w:val="32"/>
                <w:szCs w:val="32"/>
                <w:lang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关于建立供应商企业诚信名单，促进经济发展和社会进步的建议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8"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提 出 人：</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戴爱国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6"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r>
              <w:rPr>
                <w:rFonts w:hint="eastAsia" w:ascii="黑体" w:eastAsia="黑体"/>
                <w:color w:val="000000" w:themeColor="text1"/>
                <w:sz w:val="32"/>
                <w:szCs w:val="32"/>
                <w:lang w:val="en-US" w:eastAsia="zh-CN"/>
                <w14:textFill>
                  <w14:solidFill>
                    <w14:schemeClr w14:val="tx1"/>
                  </w14:solidFill>
                </w14:textFill>
              </w:rPr>
              <w:t>提 案 号：</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20240082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1"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办理类型：</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主办会办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主办单位：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市财政局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会办单位：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市市场监督管理局,市商务局,深圳市税务局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3"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华文仿宋" w:hAnsi="华文仿宋"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案由：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随着全球化和供应链的复杂性增加，企业面临着更多的供应链风险，如供应商倒闭、产品质量问题、合规性问题等。建立供应商企业诚信名单可以帮助企业降低供应链风险，确保供应链的稳定性和可靠性；可以帮助银行在选择合作伙伴时更加可靠和安全；可以满足消费者对可靠供应商的需求，提高消费者的购买信心；可以提高企业的信誉度和竞争力；可以帮助企业遵守相关法规和政策，提升企业的合规性和社会责任感。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建立供应商企业诚信名单，是一个适应时代发展和市场需求的举措，是规范市场秩序、提高采购效率、降低采购成本、促进企业诚信经营等方面的重要举措之一。作为中国重要的经济中心之一，深圳市已经在政府采购范围内建立了供应商企业诚信名单，建议扩大到更大的市场范围，进一步提升政府的形象和治理水平，促进经济发展和社会进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7"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等线" w:hAnsi="等线" w:eastAsia="等线" w:cs="等线"/>
                <w:color w:val="000000"/>
                <w:sz w:val="32"/>
                <w:szCs w:val="32"/>
              </w:rPr>
            </w:pPr>
            <w:r>
              <w:rPr>
                <w:rFonts w:hint="eastAsia" w:ascii="黑体" w:eastAsia="黑体"/>
                <w:color w:val="000000" w:themeColor="text1"/>
                <w:sz w:val="32"/>
                <w:szCs w:val="32"/>
                <w14:textFill>
                  <w14:solidFill>
                    <w14:schemeClr w14:val="tx1"/>
                  </w14:solidFill>
                </w14:textFill>
              </w:rPr>
              <w:t>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等线" w:hAnsi="等线" w:eastAsia="等线"/>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    建议一、建立供应商企业诚信名单的标准和步骤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补充说明：明确评估标准。首先，要明确哪些因素将决定一个企业是否被列入诚信名单。这些因素可能包括企业的财务稳定性、历史表现、产品质量、企业社会责任等。</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收集信息。通过各种渠道收集供应商企业的相关信息，例如通过尽职调查、审计、公开信息等。确保信息的全面性和准确性。</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建立评估体系。根据评估标准，建立一套评估体系或模型，以便对供应商企业进行量化和标准化评估。</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进行评估。使用评估体系对所有供应商企业进行评估，根据评估结果，初步筛选出符合诚信名单标准的企业。</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建立诚信名单。将经过评估和筛选的企业列入诚信名单。这一过程应透明且可追溯，以增加公众对名单的信任度。</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动态管理。定期重新评估和更新诚信名单，以反映企业的最新表现。对于不符合标准的企业，应及时从名单中移除。</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与供应商企业沟通。于被列入诚信名单的企业，应与其保持良好沟通，了解其经营状况和发展计划，以便及时发现潜在风险。</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建立反馈机制：对于进入诚信名单的企业，应鼓励用户或其他利益相关者提供反馈或投诉。这有助于及时发现潜在问题，并采取相应措施。</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持续改进：定期审查和更新诚信名单的建立和管理过程，以适应市场和环境的变化。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建议二、多方参与建立和管理供应商企业诚信名单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建议由购货企业、工商行政管理、税务、质量监督等部门参与建立和管理供应商企业诚信名单。设立专门的诚信评价部门或机构，负责整合购货企业、各个部门的信息资源，对企业进行全面的诚信评价和监督。采用信息化手段，建立企业诚信名单数据库，为政府和企业提供诚信评价的参考依据。</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与银行建立合作关系，对于列入诚信名单的企业，可以提供更便捷的支付方式，如先付款或者按诚信级别相应地缩短付款周期，以增加对诚信供应商的支持和激励。但也要注意风险管理，防止潜在的支付风险。</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银行付款给诚信企业名单中的企业可以依据双方签订的合同和协议进行。一般情况下，银行可以根据企业的实际需求和情况，采取适当的付款方式，如电汇、票据、支票、电子支付等。在付款过程中，银行要严格遵守合同和协议的规定，确保付款的准确性和及时性。</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银行提前付款给诚信名单中的供货企业时，利息由购货企业负责支付给，购货企业可以通过多种方式向银行支付款项，如贷款还款、保理业务、汇票贴现、信用证等。具体选择哪种方式，可以根据企业的实际情况和业务需求进行决策，可以依据双方签订的合同和协议来确定。同时，也需要遵守相关法律法规和银行业务规定。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建议三、政府部门制定相关奖励或优惠政策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补充说明：建议相关政府部门通过政策层面来引导建立企业供应商诚信名单，对列入诚信名单的供应商企业进行相关奖励或优惠政策，如优先参与政府采购活动、优先获得银行融资、享受财政资金支持等。</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政府还可以通过提供财政补贴、税收优惠等措施来鼓励银行向中小企业提供贷款，其中包括对提前付款的利息进行补贴。政府补贴利息的资金来源可以包括国家财政资金、专项资金等。政府补贴利息的好处是可以降低企业的融资成本，促进企业加速发展，同时也可以鼓励银行向中小企业提供更多的金融服务，促进经济的稳定发展。但需要注意的是，政府补贴利息也可能会带来一些负面影响，如增加财政负担、产生道德风险等问题，因此需要谨慎考虑和合理规划。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br w:type="textWrapping"/>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政协委员通讯录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戴爱国(男),香港友联为家实业有限公司 总裁 深圳友联工艺家私有限公司 总裁 东莞市弘开实业有限公司 总裁,13809892173,852-22424358,香港九龙红磡海明轩3座56楼B室,</w:t>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承办单位通讯录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市财政局(李斯逸),13418553300,83933151,深圳市福田区景田东路九号,518034</w:t>
            </w:r>
          </w:p>
        </w:tc>
      </w:tr>
      <w:tr>
        <w:tc>
          <w:tcPr>
            <w:tcW w:w="469" w:type="dxa"/>
          </w:tcPr>
          <w:p>
            <w:r>
              <w:rPr>
                <w:rFonts w:hint="eastAsia" w:ascii="仿宋_GB2312" w:eastAsia="仿宋_GB2312" w:cs="仿宋_GB2312"/>
                <w:sz w:val="28"/>
                <w:szCs w:val="28"/>
              </w:rPr>
              <w:t>2.</w:t>
            </w:r>
          </w:p>
        </w:tc>
        <w:tc>
          <w:tcPr>
            <w:tcW w:w="7818" w:type="dxa"/>
          </w:tcPr>
          <w:p>
            <w:r>
              <w:rPr>
                <w:rFonts w:hint="eastAsia" w:ascii="仿宋_GB2312" w:eastAsia="仿宋_GB2312" w:cs="仿宋_GB2312"/>
                <w:sz w:val="28"/>
                <w:szCs w:val="28"/>
              </w:rPr>
              <w:t>市市场监督管理局(邱晓冰),13682463648,83070396,深南大道7010号工商物价大厦,518042</w:t>
            </w:r>
          </w:p>
        </w:tc>
      </w:tr>
      <w:tr>
        <w:tc>
          <w:tcPr>
            <w:tcW w:w="469" w:type="dxa"/>
          </w:tcPr>
          <w:p>
            <w:r>
              <w:rPr>
                <w:rFonts w:hint="eastAsia" w:ascii="仿宋_GB2312" w:eastAsia="仿宋_GB2312" w:cs="仿宋_GB2312"/>
                <w:sz w:val="28"/>
                <w:szCs w:val="28"/>
              </w:rPr>
              <w:t>3.</w:t>
            </w:r>
          </w:p>
        </w:tc>
        <w:tc>
          <w:tcPr>
            <w:tcW w:w="7818" w:type="dxa"/>
          </w:tcPr>
          <w:p>
            <w:r>
              <w:rPr>
                <w:rFonts w:hint="eastAsia" w:ascii="仿宋_GB2312" w:eastAsia="仿宋_GB2312" w:cs="仿宋_GB2312"/>
                <w:sz w:val="28"/>
                <w:szCs w:val="28"/>
              </w:rPr>
              <w:t>深圳市税务局(杨宝玉 ),15986812060, 83878678,福田区沙嘴路,518048</w:t>
            </w:r>
          </w:p>
        </w:tc>
      </w:tr>
      <w:tr>
        <w:tc>
          <w:tcPr>
            <w:tcW w:w="469" w:type="dxa"/>
          </w:tcPr>
          <w:p>
            <w:r>
              <w:rPr>
                <w:rFonts w:hint="eastAsia" w:ascii="仿宋_GB2312" w:eastAsia="仿宋_GB2312" w:cs="仿宋_GB2312"/>
                <w:sz w:val="28"/>
                <w:szCs w:val="28"/>
              </w:rPr>
              <w:t>4.</w:t>
            </w:r>
          </w:p>
        </w:tc>
        <w:tc>
          <w:tcPr>
            <w:tcW w:w="7818" w:type="dxa"/>
          </w:tcPr>
          <w:p>
            <w:r>
              <w:rPr>
                <w:rFonts w:hint="eastAsia" w:ascii="仿宋_GB2312" w:eastAsia="仿宋_GB2312" w:cs="仿宋_GB2312"/>
                <w:sz w:val="28"/>
                <w:szCs w:val="28"/>
              </w:rPr>
              <w:t>市商务局(杨燕丝),15018508216,88107021,福田区福华一路大中华国际交易广场12楼,518000</w:t>
            </w:r>
          </w:p>
        </w:tc>
      </w:tr>
    </w:tbl>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lYzhjNjM5MmQ5NWFjOTZkMDY3ZGQzM2E4YzI1NjAifQ=="/>
  </w:docVars>
  <w:rsids>
    <w:rsidRoot w:val="000D41E6"/>
    <w:rsid w:val="00042432"/>
    <w:rsid w:val="000D41E6"/>
    <w:rsid w:val="001114EC"/>
    <w:rsid w:val="00147BCA"/>
    <w:rsid w:val="00166A4D"/>
    <w:rsid w:val="001A0FF8"/>
    <w:rsid w:val="001C3C90"/>
    <w:rsid w:val="002031D5"/>
    <w:rsid w:val="00227F39"/>
    <w:rsid w:val="00236E41"/>
    <w:rsid w:val="00260F67"/>
    <w:rsid w:val="002914C5"/>
    <w:rsid w:val="002C0D47"/>
    <w:rsid w:val="00310FF0"/>
    <w:rsid w:val="00334546"/>
    <w:rsid w:val="003911DC"/>
    <w:rsid w:val="003A2443"/>
    <w:rsid w:val="003D7F99"/>
    <w:rsid w:val="0044291E"/>
    <w:rsid w:val="004C0288"/>
    <w:rsid w:val="004C293B"/>
    <w:rsid w:val="004C7B0D"/>
    <w:rsid w:val="004E154D"/>
    <w:rsid w:val="004E6A0C"/>
    <w:rsid w:val="004F68A2"/>
    <w:rsid w:val="005B6100"/>
    <w:rsid w:val="00602884"/>
    <w:rsid w:val="00673758"/>
    <w:rsid w:val="006A7092"/>
    <w:rsid w:val="00732C1E"/>
    <w:rsid w:val="00793158"/>
    <w:rsid w:val="00797A98"/>
    <w:rsid w:val="007E338C"/>
    <w:rsid w:val="008144F1"/>
    <w:rsid w:val="0083551E"/>
    <w:rsid w:val="008D308A"/>
    <w:rsid w:val="008E4222"/>
    <w:rsid w:val="008F421A"/>
    <w:rsid w:val="0092585E"/>
    <w:rsid w:val="00935CC5"/>
    <w:rsid w:val="00941347"/>
    <w:rsid w:val="00967712"/>
    <w:rsid w:val="00994498"/>
    <w:rsid w:val="009C485E"/>
    <w:rsid w:val="009E2147"/>
    <w:rsid w:val="00A34BBB"/>
    <w:rsid w:val="00A82B87"/>
    <w:rsid w:val="00A9009C"/>
    <w:rsid w:val="00AD0C0A"/>
    <w:rsid w:val="00AD26F5"/>
    <w:rsid w:val="00AD367B"/>
    <w:rsid w:val="00B21855"/>
    <w:rsid w:val="00B27728"/>
    <w:rsid w:val="00B30441"/>
    <w:rsid w:val="00B447A8"/>
    <w:rsid w:val="00B61CC8"/>
    <w:rsid w:val="00B6488E"/>
    <w:rsid w:val="00BA05D7"/>
    <w:rsid w:val="00BA78B0"/>
    <w:rsid w:val="00C249E2"/>
    <w:rsid w:val="00C542F7"/>
    <w:rsid w:val="00C6715C"/>
    <w:rsid w:val="00C74D4D"/>
    <w:rsid w:val="00CB7179"/>
    <w:rsid w:val="00D30A2D"/>
    <w:rsid w:val="00D604D5"/>
    <w:rsid w:val="00D82E5F"/>
    <w:rsid w:val="00D922D5"/>
    <w:rsid w:val="00DB7E1D"/>
    <w:rsid w:val="00E63E06"/>
    <w:rsid w:val="00F0289C"/>
    <w:rsid w:val="00F336A0"/>
    <w:rsid w:val="00F50B82"/>
    <w:rsid w:val="00F87CE5"/>
    <w:rsid w:val="00FE6055"/>
    <w:rsid w:val="08CE6F70"/>
    <w:rsid w:val="0FD27D79"/>
    <w:rsid w:val="134F76DA"/>
    <w:rsid w:val="13E3273E"/>
    <w:rsid w:val="13F803AD"/>
    <w:rsid w:val="169D5372"/>
    <w:rsid w:val="20AD64FF"/>
    <w:rsid w:val="2192492D"/>
    <w:rsid w:val="25F80A39"/>
    <w:rsid w:val="2B8A6344"/>
    <w:rsid w:val="2E59180F"/>
    <w:rsid w:val="373B464F"/>
    <w:rsid w:val="3F5E17DA"/>
    <w:rsid w:val="44360900"/>
    <w:rsid w:val="4E8D4E8C"/>
    <w:rsid w:val="4EE062F9"/>
    <w:rsid w:val="514C5B9B"/>
    <w:rsid w:val="54992EC7"/>
    <w:rsid w:val="58FB2054"/>
    <w:rsid w:val="5EA62400"/>
    <w:rsid w:val="6ADA0666"/>
    <w:rsid w:val="70A46629"/>
    <w:rsid w:val="79EF7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autoRedefine/>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3"/>
    <w:autoRedefine/>
    <w:unhideWhenUsed/>
    <w:qFormat/>
    <w:uiPriority w:val="99"/>
    <w:pPr>
      <w:tabs>
        <w:tab w:val="center" w:pos="4153"/>
        <w:tab w:val="right" w:pos="8306"/>
      </w:tabs>
      <w:snapToGrid w:val="0"/>
      <w:jc w:val="left"/>
    </w:pPr>
    <w:rPr>
      <w:sz w:val="18"/>
      <w:szCs w:val="18"/>
    </w:rPr>
  </w:style>
  <w:style w:type="paragraph" w:styleId="5">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Light Shading Accent 2"/>
    <w:autoRedefine/>
    <w:qFormat/>
    <w:uiPriority w:val="60"/>
    <w:rPr>
      <w:color w:val="C55A11" w:themeColor="accent2" w:themeShade="BF"/>
    </w:rPr>
    <w:tblPr>
      <w:tblBorders>
        <w:top w:val="single" w:color="ED7D31" w:themeColor="accent2" w:sz="8" w:space="0"/>
        <w:bottom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5"/>
    <w:qFormat/>
    <w:uiPriority w:val="99"/>
    <w:rPr>
      <w:sz w:val="18"/>
      <w:szCs w:val="18"/>
    </w:rPr>
  </w:style>
  <w:style w:type="character" w:customStyle="1" w:styleId="13">
    <w:name w:val="页脚 字符"/>
    <w:basedOn w:val="10"/>
    <w:link w:val="4"/>
    <w:qFormat/>
    <w:uiPriority w:val="99"/>
    <w:rPr>
      <w:sz w:val="18"/>
      <w:szCs w:val="18"/>
    </w:rPr>
  </w:style>
  <w:style w:type="character" w:customStyle="1" w:styleId="14">
    <w:name w:val="批注文字 字符"/>
    <w:basedOn w:val="10"/>
    <w:link w:val="2"/>
    <w:semiHidden/>
    <w:qFormat/>
    <w:uiPriority w:val="99"/>
  </w:style>
  <w:style w:type="character" w:customStyle="1" w:styleId="15">
    <w:name w:val="批注主题 字符"/>
    <w:basedOn w:val="14"/>
    <w:link w:val="6"/>
    <w:semiHidden/>
    <w:qFormat/>
    <w:uiPriority w:val="99"/>
    <w:rPr>
      <w:b/>
      <w:bCs/>
    </w:rPr>
  </w:style>
  <w:style w:type="character" w:customStyle="1" w:styleId="16">
    <w:name w:val="批注框文本 字符"/>
    <w:basedOn w:val="10"/>
    <w:link w:val="3"/>
    <w:semiHidden/>
    <w:qFormat/>
    <w:uiPriority w:val="99"/>
    <w:rPr>
      <w:sz w:val="18"/>
      <w:szCs w:val="18"/>
    </w:rPr>
  </w:style>
  <w:style w:type="table" w:styleId="TableGrid">
    <w:name w:val="Table Grid"/>
    <w:basedOn w:val="TableNormal"/>
    <w:uiPriority w:val="59"/>
    <w:rsid w:val="008D01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unnamedxuan</Company>
  <Pages>1</Pages>
  <Words>39</Words>
  <Characters>41</Characters>
  <Lines>1</Lines>
  <Paragraphs>1</Paragraphs>
  <TotalTime>0</TotalTime>
  <ScaleCrop>false</ScaleCrop>
  <LinksUpToDate>false</LinksUpToDate>
  <CharactersWithSpaces>45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2014-03-05T06:43:00Z</dcterms:created>
  <dc:creator>unnamedxuan@qq.com</dc:creator>
  <cp:lastModifiedBy>lenovo</cp:lastModifiedBy>
  <dcterms:modified xsi:type="dcterms:W3CDTF">2024-06-24T03:05:11Z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22EB438B6E71432982BA343865294FE5</vt:lpwstr>
  </property>
</Properties>
</file>