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7</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关于“数字化转型点亮产业，打造鹏城区域名片”的提案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封昌红,高青（特邀本市）,高小毛,梁宇,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市工业和信息化局,市商务局,盐田区人民政府,大鹏新区管理委员会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背景中国城市运营已迈入新城市IP时代。打造超级城市IP，不仅可拉动GDP，更能为产业带附加区域品牌价值。深圳作为第一代经济特区、新时代的社会主义先行示范区以及宜居滨海之都，有着辉煌的历史以及得天独厚的自然景观优势。产业方面，深圳华强北是全球规模最大的电子元器件集散地之一，创下了电子商户数量、营业面积、产品种类、年销售额等4个“全国第一”，获得“中国电子第一街”城市品牌，曾经是行业和商家的圣地。人文景观方面，盐田区、大鹏新区拥有依山傍海的绝美景观、连绵海岸线和丰富的景观、人文旅游资源，被赋予建设世界级滨海生态旅游度假区和全球海洋中心城市集中承载区的使命，正在打造文旅新IP。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二、挑战与机遇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首先电商兴起给华强北传统实体商业模式带来不小的冲击，华强北“中国电子第一街”风光不再，客流锐减、面临新一轮电子信息产业转型升级。其次，在盐田、大鹏文旅新IP塑造中，民宿缺乏特色、同质化严重、网红属性低，并且品牌知名度不高、服务参差不齐，越来越难以吸引游客，相对比全国各地风起云涌的各个打卡旅游胜地，盐田、大鹏的网上知名度严重被网民低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建议一、借力直播风口转型升级，线上重塑“中国电子第一街”辉煌，打造深圳新产业带升级典范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依托抖音生态资源助力华强北企业数字化转型。借助云计算、大数据、物联网、人工智能等新技术，搭建线上华强北“直播运营、选品中心”，集短视频、直播数字运营能力，增长营销能力，产业客户数据能力，智能推荐能力、产业大脑能力等多功能于一体，全方位助力华强北实体企业数字化转型。以线上华强北数字化运营中心为平台，引入抖音认证专业讲师，开展培训、陪跑，代运营等多样化服务，为当地企业提供新媒体营销方面的专业指导，提升直播技能，实现从线上到线下的无缝对接和高效转化，为华强北产业转型升级注入活动和生机。塑造线上华强北的全新打卡场景。依托数字人等前沿技术，在文创产品、周边游、元宇宙以及AR/VR等领域开展丰富多彩的线上线下联动活动，为游客带来沉浸式新体验。同时，策划一系列以华强北为背景的线下网红打卡直播活动，通过网红的传播效应吸引线上流量，并借助网民的二次传播扩大影响力，从而推动华强北工业旅游的繁荣发展。以数字化和工业设计赋能，华强北为示范，在全市全面实施“点亮产业”行动计划强化深圳“创新”IP形象依托深圳市新联 展。以数字化和工业设计赋能，华强北为示范，在全市全面实施“点亮产业”行动计划强化深圳“创新”IP形象。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建议二、依托深圳市新联会、市工业设计行业协会，共同搭建通用人工智能设计协同平台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从设计出发，牵引供应链变革，在市场洞察、产品定义及概念设计、零售终端三个环节，重塑创意端及营销端的传统工作流，尤其是在现代时尚领域，依托AIGC的助力，加速整个产业的数字化和C2M的敏捷效率，以数据驱动决策，提高经济效率，创造新的经济增长点。通过“点亮产业”行动计划，在“线上华强北”成功经验的带动下，新联会结合各区优势产业，如罗湖珠宝、南山服装、龙岗眼镜、光明钟表等，打造一批含金量高的“深圳品牌”，助力深圳“老字号”升级为“新国潮”，引领新消费。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建议三、助推盐田、大鹏民宿转型升级，打造山海连城独特名片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入挖掘盐田区、大鹏新区的文化内涵，将民俗、历史、自然景观等元素融入到民宿的设计和活动中，形成独特的文化体验。建立由专业民宿团队设计运营的高端休闲民宿集群。利用现代的社交媒体和互联网平台，如微博、抖音、小红书等，进行广泛的宣传和推广。与知名博主或KOL合作，通过他们的影响力吸引更多的游客。与当地社区建立紧密的合作关系，鼓励当地居民参与举办与当地文化相关的活动，如民俗节日庆典、音乐会、艺术展览等，吸引游客参与，增强游客的体验感。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封昌红(女),13312912298,</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高青（特邀本市）(女),13728888288,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高小毛(男),13554907401,</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 xml:space="preserve">大鹏新区管理委员会(孙月嫦),13570427515,28333965,      </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