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tbl>
      <w:tblPr>
        <w:tblStyle w:val="TableGrid"/>
        <w:tblW w:w="8222" w:type="dxa"/>
        <w:tblInd w:w="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78"/>
        <w:gridCol w:w="1693"/>
        <w:gridCol w:w="58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34" w:hRule="atLeast"/>
        </w:trPr>
        <w:tc>
          <w:tcPr>
            <w:tcW w:w="678" w:type="dxa"/>
          </w:tcPr>
          <w:p>
            <w:pPr>
              <w:keepNext w:val="0"/>
              <w:keepLines w:val="0"/>
              <w:pageBreakBefore w:val="0"/>
              <w:widowControl w:val="0"/>
              <w:kinsoku/>
              <w:wordWrap/>
              <w:overflowPunct/>
              <w:topLinePunct w:val="0"/>
              <w:autoSpaceDE/>
              <w:autoSpaceDN/>
              <w:bidi w:val="0"/>
              <w:adjustRightInd/>
              <w:snapToGrid/>
              <w:spacing w:line="480" w:lineRule="auto"/>
              <w:ind w:left="0"/>
              <w:jc w:val="center"/>
              <w:textAlignment w:val="auto"/>
              <w:rPr>
                <w:rFonts w:hint="eastAsia" w:eastAsia="华文仿宋"/>
                <w:color w:val="000000" w:themeColor="text1"/>
                <w:sz w:val="32"/>
                <w:szCs w:val="32"/>
                <w:lang w:val="en-US" w:eastAsia="zh-CN"/>
                <w14:textFill>
                  <w14:solidFill>
                    <w14:schemeClr w14:val="tx1"/>
                  </w14:solidFill>
                </w14:textFill>
              </w:rPr>
            </w:pPr>
            <w:r>
              <w:rPr>
                <w:rFonts w:hint="eastAsia" w:ascii="Times New Roman" w:eastAsia="华文仿宋"/>
                <w:color w:val="000000" w:themeColor="text1"/>
                <w:sz w:val="32"/>
                <w:szCs w:val="32"/>
                <w:lang w:val="en-US" w:eastAsia="zh-CN"/>
                <w14:textFill>
                  <w14:solidFill>
                    <w14:schemeClr w14:val="tx1"/>
                  </w14:solidFill>
                </w14:textFill>
              </w:rPr>
              <w:t>4</w:t>
            </w:r>
          </w:p>
        </w:tc>
        <w:tc>
          <w:tcPr>
            <w:tcW w:w="7516" w:type="dxa"/>
            <w:gridSpan w:val="2"/>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eastAsiaTheme="minorEastAsia"/>
                <w:color w:val="000000" w:themeColor="text1"/>
                <w:sz w:val="32"/>
                <w:szCs w:val="32"/>
                <w:lang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关于打造我市平台经济创新发展高地的建议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8"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提 出 人：</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张宗平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6"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r>
              <w:rPr>
                <w:rFonts w:hint="eastAsia" w:ascii="黑体" w:eastAsia="黑体"/>
                <w:color w:val="000000" w:themeColor="text1"/>
                <w:sz w:val="32"/>
                <w:szCs w:val="32"/>
                <w:lang w:val="en-US" w:eastAsia="zh-CN"/>
                <w14:textFill>
                  <w14:solidFill>
                    <w14:schemeClr w14:val="tx1"/>
                  </w14:solidFill>
                </w14:textFill>
              </w:rPr>
              <w:t>提 案 号：</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20240037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1"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办理类型：</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主办会办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主办单位：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会办单位：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市商务局,市工业和信息化局,市委网信办,市文化广电旅游体育局,市交通运输局,市前海管理局,市住房和建设局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3"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华文仿宋" w:hAnsi="华文仿宋"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案由：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从2022年12月的中央经济工作会议到2023年4月的中央政治局会议和2023年7月李强总理召开的平台企业座谈会，都明确提出“支持平台企业在引领发展、创造就业、国际竞争中大显身手”。深圳培育了腾讯等龙头企业以及乐信、货拉拉等细分隐形冠军，在文化娱乐、物流供应链、金融服务等平台优势突出，但我市平台企业发展仍需进一步加强，表现在：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一）生产性服务平台亟待加快发展。反映在生产性互联网服务平台所急需的行业大模型、区块链等技术应用引导不足，数据产权、交易、跨境和安全保护等基础制度和技术标准不完善，数据出境的安全申报存在工作量大、周期长的问题。</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二）生活性服务的重点领域缺少引领性平台企业。同北、上、杭相比，我市缺少阿里、京东、拼多多这类大型综合性电商平台，面临着“有大卖家无大平台”困境，跨境电商严重依赖亚马逊等国外平台。智慧出行、智慧医疗等领域龙头平台企业布局不足。</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三）平台企业国际化布局和竞争力不足。深圳平台企业的商运、投资目前主要布局国内市场。2022年，深圳上市平台企业平均国际收入占比约17.7%，国际业务收入占比超过20%的企业仅占两成左右。腾讯、顺丰、金蝶等行业龙头企业的国际收入占比，均远低于亚马逊（30.7%）、谷歌（52.3%）。</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四）平台经济常态化监管机制亟需完善。平台经济具有创新速度快、用户规模大、业态模式复杂、信息数据海量等特点，可能出现市场垄断、数据安全等问题，政府的制度规则面临滞后或缺失的挑战。同北京、浙江、杭州相比，深圳严重滞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7"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等线" w:hAnsi="等线" w:eastAsia="等线" w:cs="等线"/>
                <w:color w:val="000000"/>
                <w:sz w:val="32"/>
                <w:szCs w:val="32"/>
              </w:rPr>
            </w:pPr>
            <w:r>
              <w:rPr>
                <w:rFonts w:hint="eastAsia" w:ascii="黑体" w:eastAsia="黑体"/>
                <w:color w:val="000000" w:themeColor="text1"/>
                <w:sz w:val="32"/>
                <w:szCs w:val="32"/>
                <w14:textFill>
                  <w14:solidFill>
                    <w14:schemeClr w14:val="tx1"/>
                  </w14:solidFill>
                </w14:textFill>
              </w:rPr>
              <w:t>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等线" w:hAnsi="等线" w:eastAsia="等线"/>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建议一、出台政策，形成支持平台经济的发展、监管和准入的政策体系，充分发挥政府宏观政策引导作用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一是完善支持平台经济发展的政策体系，进一步加大生产性服务平台的政策扶持力度，大力发展工业互联网平台、创新服务平台、专业服务平台。二是探索网络直播等新业态风险监测，积极开展“监管沙盒”、触发式监管、智慧监管。三是优化平台经济市场准入，明确规则和边界，设立资本“红绿灯”，建立透明、可预期的常态化监管制度和机制。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建议二、出台政策，引导平台企业发挥优势推动创新、创设场景、参与国标市标试制，构建更具活力的平台经济创新体系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一是引导平台企业发挥平台的市场和数据优势，加强数据资源开发利用，加快人工智能、云计算、区块链等技术应用突破，推动平台企业通过扩展现实、数字孪生、元宇宙等新技术开发更多解决方案。二是推进大模型技术应用场景建设,运用大模型技术开发智能报警、设备健康管理、智能诊断和智能预测模型,加大智能营销产品开发力度,发展在线智能客服服务。三是支持生产性互联网服务平台参与国家、市级标准化试点工作，提升服务规范化水平。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建议三、实施“平台助企”行动，引导平台企业深度参与中小企业的生产、销售和市场拓展，全面赋能实体经济。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一是实施“平台助企”行动，为中小企业提供生产管理、智能营销、云端协同等产品，提升生产效率。支持平台企业赋能生产制造，培育智能制造、柔性制造。支持平台企业参与“产业大脑+未来工厂”建设。二是提升平台消费创造能力，丰富数字化消费场景，打造全方位、多场景、沉浸式消费体验。三是支持通过平台企业发放消费券，提振消费市场活力。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建议四、探索包括便利化数据跨境流动、繁荣跨境电商平台和组织等系列措施，推动平台企业国际化规模化发展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一是探索建立合法安全便利的数据跨境流动机制，提升数据跨境流动便利性。二是推动数字海外仓建设，推广独立站和TIKTOK、TEMU等中国企业相对可控的跨境电商平台。三是打造深港跨境电商集聚区，探索与RCEP区域内相关城市及有意愿的企业和社会组织建立跨境电商产业合作联盟。四是推动生产性互联网服务平台和产业链上下游企业联合出海，打造“二、三产业”融合发展的跨国生产性互联网服务平台。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br w:type="textWrapping"/>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政协委员通讯录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张宗平(男),九三学社市委会副主委，南山区政协副主席,13510032763,</w:t>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承办单位通讯录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市发展和改革委员会(庞巧娟),18718574911,88127783,福田区市民中心C3078,518035</w:t>
            </w:r>
          </w:p>
        </w:tc>
      </w:tr>
      <w:tr>
        <w:tc>
          <w:tcPr>
            <w:tcW w:w="469" w:type="dxa"/>
          </w:tcPr>
          <w:p>
            <w:r>
              <w:rPr>
                <w:rFonts w:hint="eastAsia" w:ascii="仿宋_GB2312" w:eastAsia="仿宋_GB2312" w:cs="仿宋_GB2312"/>
                <w:sz w:val="28"/>
                <w:szCs w:val="28"/>
              </w:rPr>
              <w:t>2.</w:t>
            </w:r>
          </w:p>
        </w:tc>
        <w:tc>
          <w:tcPr>
            <w:tcW w:w="7818" w:type="dxa"/>
          </w:tcPr>
          <w:p>
            <w:r>
              <w:rPr>
                <w:rFonts w:hint="eastAsia" w:ascii="仿宋_GB2312" w:eastAsia="仿宋_GB2312" w:cs="仿宋_GB2312"/>
                <w:sz w:val="28"/>
                <w:szCs w:val="28"/>
              </w:rPr>
              <w:t>市交通运输局(黄小桐),18174590856,83168021,深圳市福田区竹子林公路主枢纽管理控制中心,518040</w:t>
            </w:r>
          </w:p>
        </w:tc>
      </w:tr>
      <w:tr>
        <w:tc>
          <w:tcPr>
            <w:tcW w:w="469" w:type="dxa"/>
          </w:tcPr>
          <w:p>
            <w:r>
              <w:rPr>
                <w:rFonts w:hint="eastAsia" w:ascii="仿宋_GB2312" w:eastAsia="仿宋_GB2312" w:cs="仿宋_GB2312"/>
                <w:sz w:val="28"/>
                <w:szCs w:val="28"/>
              </w:rPr>
              <w:t>3.</w:t>
            </w:r>
          </w:p>
        </w:tc>
        <w:tc>
          <w:tcPr>
            <w:tcW w:w="7818" w:type="dxa"/>
          </w:tcPr>
          <w:p>
            <w:r>
              <w:rPr>
                <w:rFonts w:hint="eastAsia" w:ascii="仿宋_GB2312" w:eastAsia="仿宋_GB2312" w:cs="仿宋_GB2312"/>
                <w:sz w:val="28"/>
                <w:szCs w:val="28"/>
              </w:rPr>
              <w:t>市文化广电旅游体育局(李桂元),15501833947,88128090,深圳市福田区福中三路市民中心C区2046室,518035</w:t>
            </w:r>
          </w:p>
        </w:tc>
      </w:tr>
      <w:tr>
        <w:tc>
          <w:tcPr>
            <w:tcW w:w="469" w:type="dxa"/>
          </w:tcPr>
          <w:p>
            <w:r>
              <w:rPr>
                <w:rFonts w:hint="eastAsia" w:ascii="仿宋_GB2312" w:eastAsia="仿宋_GB2312" w:cs="仿宋_GB2312"/>
                <w:sz w:val="28"/>
                <w:szCs w:val="28"/>
              </w:rPr>
              <w:t>4.</w:t>
            </w:r>
          </w:p>
        </w:tc>
        <w:tc>
          <w:tcPr>
            <w:tcW w:w="7818" w:type="dxa"/>
          </w:tcPr>
          <w:p>
            <w:r>
              <w:rPr>
                <w:rFonts w:hint="eastAsia" w:ascii="仿宋_GB2312" w:eastAsia="仿宋_GB2312" w:cs="仿宋_GB2312"/>
                <w:sz w:val="28"/>
                <w:szCs w:val="28"/>
              </w:rPr>
              <w:t>市住房和建设局(肖珍),18027650925,83788509,深圳市福田区振华路8号设计大厦8楼,518031</w:t>
            </w:r>
          </w:p>
        </w:tc>
      </w:tr>
      <w:tr>
        <w:tc>
          <w:tcPr>
            <w:tcW w:w="469" w:type="dxa"/>
          </w:tcPr>
          <w:p>
            <w:r>
              <w:rPr>
                <w:rFonts w:hint="eastAsia" w:ascii="仿宋_GB2312" w:eastAsia="仿宋_GB2312" w:cs="仿宋_GB2312"/>
                <w:sz w:val="28"/>
                <w:szCs w:val="28"/>
              </w:rPr>
              <w:t>5.</w:t>
            </w:r>
          </w:p>
        </w:tc>
        <w:tc>
          <w:tcPr>
            <w:tcW w:w="7818" w:type="dxa"/>
          </w:tcPr>
          <w:p>
            <w:r>
              <w:rPr>
                <w:rFonts w:hint="eastAsia" w:ascii="仿宋_GB2312" w:eastAsia="仿宋_GB2312" w:cs="仿宋_GB2312"/>
                <w:sz w:val="28"/>
                <w:szCs w:val="28"/>
              </w:rPr>
              <w:t>市前海管理局(黎思莹),13603002111,88105052,深圳市南山区前海一路23前海办公楼C栋,518000</w:t>
            </w:r>
          </w:p>
        </w:tc>
      </w:tr>
      <w:tr>
        <w:tc>
          <w:tcPr>
            <w:tcW w:w="469" w:type="dxa"/>
          </w:tcPr>
          <w:p>
            <w:r>
              <w:rPr>
                <w:rFonts w:hint="eastAsia" w:ascii="仿宋_GB2312" w:eastAsia="仿宋_GB2312" w:cs="仿宋_GB2312"/>
                <w:sz w:val="28"/>
                <w:szCs w:val="28"/>
              </w:rPr>
              <w:t>6.</w:t>
            </w:r>
          </w:p>
        </w:tc>
        <w:tc>
          <w:tcPr>
            <w:tcW w:w="7818" w:type="dxa"/>
          </w:tcPr>
          <w:p>
            <w:r>
              <w:rPr>
                <w:rFonts w:hint="eastAsia" w:ascii="仿宋_GB2312" w:eastAsia="仿宋_GB2312" w:cs="仿宋_GB2312"/>
                <w:sz w:val="28"/>
                <w:szCs w:val="28"/>
              </w:rPr>
              <w:t>市工业和信息化局(潘洋),18118783860,88101827,福田区福中三路市民中心三楼,518036</w:t>
            </w:r>
          </w:p>
        </w:tc>
      </w:tr>
      <w:tr>
        <w:tc>
          <w:tcPr>
            <w:tcW w:w="469" w:type="dxa"/>
          </w:tcPr>
          <w:p>
            <w:r>
              <w:rPr>
                <w:rFonts w:hint="eastAsia" w:ascii="仿宋_GB2312" w:eastAsia="仿宋_GB2312" w:cs="仿宋_GB2312"/>
                <w:sz w:val="28"/>
                <w:szCs w:val="28"/>
              </w:rPr>
              <w:t>7.</w:t>
            </w:r>
          </w:p>
        </w:tc>
        <w:tc>
          <w:tcPr>
            <w:tcW w:w="7818" w:type="dxa"/>
          </w:tcPr>
          <w:p>
            <w:r>
              <w:rPr>
                <w:rFonts w:hint="eastAsia" w:ascii="仿宋_GB2312" w:eastAsia="仿宋_GB2312" w:cs="仿宋_GB2312"/>
                <w:sz w:val="28"/>
                <w:szCs w:val="28"/>
              </w:rPr>
              <w:t>市商务局(杨燕丝),15018508216,88107021,福田区福华一路大中华国际交易广场12楼,518000</w:t>
            </w:r>
          </w:p>
        </w:tc>
      </w:tr>
      <w:tr>
        <w:tc>
          <w:tcPr>
            <w:tcW w:w="469" w:type="dxa"/>
          </w:tcPr>
          <w:p>
            <w:r>
              <w:rPr>
                <w:rFonts w:hint="eastAsia" w:ascii="仿宋_GB2312" w:eastAsia="仿宋_GB2312" w:cs="仿宋_GB2312"/>
                <w:sz w:val="28"/>
                <w:szCs w:val="28"/>
              </w:rPr>
              <w:t>8.</w:t>
            </w:r>
          </w:p>
        </w:tc>
        <w:tc>
          <w:tcPr>
            <w:tcW w:w="7818" w:type="dxa"/>
          </w:tcPr>
          <w:p>
            <w:r>
              <w:rPr>
                <w:rFonts w:hint="eastAsia" w:ascii="仿宋_GB2312" w:eastAsia="仿宋_GB2312" w:cs="仿宋_GB2312"/>
                <w:sz w:val="28"/>
                <w:szCs w:val="28"/>
              </w:rPr>
              <w:t>市委网信办(林锦涛),19928819726,88133780,深圳市福田区同心路3号,518000</w:t>
            </w:r>
          </w:p>
        </w:tc>
      </w:tr>
    </w:tbl>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lYzhjNjM5MmQ5NWFjOTZkMDY3ZGQzM2E4YzI1NjAifQ=="/>
  </w:docVars>
  <w:rsids>
    <w:rsidRoot w:val="000D41E6"/>
    <w:rsid w:val="00042432"/>
    <w:rsid w:val="000D41E6"/>
    <w:rsid w:val="001114EC"/>
    <w:rsid w:val="00147BCA"/>
    <w:rsid w:val="00166A4D"/>
    <w:rsid w:val="001A0FF8"/>
    <w:rsid w:val="001C3C90"/>
    <w:rsid w:val="002031D5"/>
    <w:rsid w:val="00227F39"/>
    <w:rsid w:val="00236E41"/>
    <w:rsid w:val="00260F67"/>
    <w:rsid w:val="002914C5"/>
    <w:rsid w:val="002C0D47"/>
    <w:rsid w:val="00310FF0"/>
    <w:rsid w:val="00334546"/>
    <w:rsid w:val="003911DC"/>
    <w:rsid w:val="003A2443"/>
    <w:rsid w:val="003D7F99"/>
    <w:rsid w:val="0044291E"/>
    <w:rsid w:val="004C0288"/>
    <w:rsid w:val="004C293B"/>
    <w:rsid w:val="004C7B0D"/>
    <w:rsid w:val="004E154D"/>
    <w:rsid w:val="004E6A0C"/>
    <w:rsid w:val="004F68A2"/>
    <w:rsid w:val="005B6100"/>
    <w:rsid w:val="00602884"/>
    <w:rsid w:val="00673758"/>
    <w:rsid w:val="006A7092"/>
    <w:rsid w:val="00732C1E"/>
    <w:rsid w:val="00793158"/>
    <w:rsid w:val="00797A98"/>
    <w:rsid w:val="007E338C"/>
    <w:rsid w:val="008144F1"/>
    <w:rsid w:val="0083551E"/>
    <w:rsid w:val="008D308A"/>
    <w:rsid w:val="008E4222"/>
    <w:rsid w:val="008F421A"/>
    <w:rsid w:val="0092585E"/>
    <w:rsid w:val="00935CC5"/>
    <w:rsid w:val="00941347"/>
    <w:rsid w:val="00967712"/>
    <w:rsid w:val="00994498"/>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C249E2"/>
    <w:rsid w:val="00C542F7"/>
    <w:rsid w:val="00C6715C"/>
    <w:rsid w:val="00C74D4D"/>
    <w:rsid w:val="00CB7179"/>
    <w:rsid w:val="00D30A2D"/>
    <w:rsid w:val="00D604D5"/>
    <w:rsid w:val="00D82E5F"/>
    <w:rsid w:val="00D922D5"/>
    <w:rsid w:val="00DB7E1D"/>
    <w:rsid w:val="00E63E06"/>
    <w:rsid w:val="00F0289C"/>
    <w:rsid w:val="00F336A0"/>
    <w:rsid w:val="00F50B82"/>
    <w:rsid w:val="00F87CE5"/>
    <w:rsid w:val="00FE6055"/>
    <w:rsid w:val="08CE6F70"/>
    <w:rsid w:val="0FD27D79"/>
    <w:rsid w:val="134F76DA"/>
    <w:rsid w:val="13E3273E"/>
    <w:rsid w:val="13F803AD"/>
    <w:rsid w:val="169D5372"/>
    <w:rsid w:val="20AD64FF"/>
    <w:rsid w:val="2192492D"/>
    <w:rsid w:val="25F80A39"/>
    <w:rsid w:val="2B8A6344"/>
    <w:rsid w:val="2E59180F"/>
    <w:rsid w:val="373B464F"/>
    <w:rsid w:val="3F5E17DA"/>
    <w:rsid w:val="44360900"/>
    <w:rsid w:val="4E8D4E8C"/>
    <w:rsid w:val="4EE062F9"/>
    <w:rsid w:val="514C5B9B"/>
    <w:rsid w:val="54992EC7"/>
    <w:rsid w:val="58FB2054"/>
    <w:rsid w:val="5EA62400"/>
    <w:rsid w:val="6ADA0666"/>
    <w:rsid w:val="70A46629"/>
    <w:rsid w:val="79EF7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3"/>
    <w:autoRedefine/>
    <w:unhideWhenUsed/>
    <w:qFormat/>
    <w:uiPriority w:val="99"/>
    <w:pPr>
      <w:tabs>
        <w:tab w:val="center" w:pos="4153"/>
        <w:tab w:val="right" w:pos="8306"/>
      </w:tabs>
      <w:snapToGrid w:val="0"/>
      <w:jc w:val="left"/>
    </w:pPr>
    <w:rPr>
      <w:sz w:val="18"/>
      <w:szCs w:val="18"/>
    </w:rPr>
  </w:style>
  <w:style w:type="paragraph" w:styleId="5">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Light Shading Accent 2"/>
    <w:autoRedefine/>
    <w:qFormat/>
    <w:uiPriority w:val="60"/>
    <w:rPr>
      <w:color w:val="C55A11" w:themeColor="accent2" w:themeShade="BF"/>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qFormat/>
    <w:uiPriority w:val="99"/>
    <w:rPr>
      <w:sz w:val="18"/>
      <w:szCs w:val="18"/>
    </w:rPr>
  </w:style>
  <w:style w:type="character" w:customStyle="1" w:styleId="14">
    <w:name w:val="批注文字 字符"/>
    <w:basedOn w:val="10"/>
    <w:link w:val="2"/>
    <w:semiHidden/>
    <w:qFormat/>
    <w:uiPriority w:val="99"/>
  </w:style>
  <w:style w:type="character" w:customStyle="1" w:styleId="15">
    <w:name w:val="批注主题 字符"/>
    <w:basedOn w:val="14"/>
    <w:link w:val="6"/>
    <w:semiHidden/>
    <w:qFormat/>
    <w:uiPriority w:val="99"/>
    <w:rPr>
      <w:b/>
      <w:bCs/>
    </w:rPr>
  </w:style>
  <w:style w:type="character" w:customStyle="1" w:styleId="16">
    <w:name w:val="批注框文本 字符"/>
    <w:basedOn w:val="10"/>
    <w:link w:val="3"/>
    <w:semiHidden/>
    <w:qFormat/>
    <w:uiPriority w:val="99"/>
    <w:rPr>
      <w:sz w:val="18"/>
      <w:szCs w:val="18"/>
    </w:rPr>
  </w:style>
  <w:style w:type="table" w:styleId="TableGrid">
    <w:name w:val="Table Grid"/>
    <w:basedOn w:val="TableNormal"/>
    <w:uiPriority w:val="59"/>
    <w:rsid w:val="008D01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unnamedxuan</Company>
  <Pages>1</Pages>
  <Words>39</Words>
  <Characters>41</Characters>
  <Lines>1</Lines>
  <Paragraphs>1</Paragraphs>
  <TotalTime>0</TotalTime>
  <ScaleCrop>false</ScaleCrop>
  <LinksUpToDate>false</LinksUpToDate>
  <CharactersWithSpaces>45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2014-03-05T06:43:00Z</dcterms:created>
  <dc:creator>unnamedxuan@qq.com</dc:creator>
  <cp:lastModifiedBy>lenovo</cp:lastModifiedBy>
  <dcterms:modified xsi:type="dcterms:W3CDTF">2024-06-24T03:05:11Z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22EB438B6E71432982BA343865294FE5</vt:lpwstr>
  </property>
</Properties>
</file>