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《关于落实“五外联动”推进高水平对外开放的工作方案（征求意见稿）》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报告提出“推进高水平对外开放。依托我国超大规模市场优势，以国内大循环吸引全球资源要素，增强国内国际两个市场两种资源联动效应，提升贸易投资合作质量和水平”。省委十三届二次全会提出“优化对外开放布局，打好外贸、外资、外包、外经、外智‘五外联动’组合拳，稳步扩大制度型开放，为现代化建设释放充沛活力、注入强劲动力”。市政府工作报告提出“促进外贸外资外包外经外智‘五外联动’”。为落实省委省政府、市委市政府工作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《关于落实“五外联动”推进高水平对外开放的工作方案（征求意见稿）》（以下简称《工作方案》）。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《工作方案》分为五大部分、共20条措施。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第一部分是推动外贸稳规模优结构，共6条措施。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分别从打造出口优势产业集群、进口补短板强弱项、增强贸易集散能力、发展外贸新业态、培育贸易龙头企业、构建高效跨境贸易物流体系六个方面全方位促进外贸发展，建设国际贸易中心。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第二部分是提高利用外资质量，共4条措施。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分别从加强招商统筹力度、开展招商专项行动、打造吸引外资“强磁场”、营造一流投资环境四个方面持续引进外商投资“活水”。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第三部分是推动外包提质增效，共4条措施。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分别从推动先进制造业与现代服务业融合发展、加快服务外包产业升级、建设服务外包载体平台、培育服务外包龙头企业四个方面促进外包产业发展壮大，不断提升服务外包示范城市能级。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第四部分是优化外经布局，共3条措施。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分别从支持企业高质量“走出去”、高标准建设境外经贸合作区、推广跨境人民币结算业务三方面推动企业有序开展对外投资，用好国内国外两种资源。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第五部分是面向全球招才引智，共3条措施。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分别从大力引进全球高精尖缺人才、拓展引才引智渠道、营造具有国际竞争力的引才环境三方面开展招才引智，努力打造创新人才高地示范区。</w:t>
      </w: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6F2D20"/>
    <w:rsid w:val="6FD72D31"/>
    <w:rsid w:val="A6EEB14C"/>
    <w:rsid w:val="BD6F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2023-04-04T23:29:00Z</dcterms:created>
  <dc:creator>王瑾</dc:creator>
  <cp:lastModifiedBy>网站运维(陈梓标)</cp:lastModifiedBy>
  <dcterms:modified xsi:type="dcterms:W3CDTF">2023-04-27T15:29:06Z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