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leftChars="0" w:right="0" w:firstLine="0" w:firstLineChars="0"/>
        <w:jc w:val="center"/>
        <w:rPr>
          <w:rFonts w:hint="eastAsia" w:ascii="Noto Sans CJK SC" w:hAnsi="Noto Sans CJK SC" w:eastAsia="Noto Sans CJK SC" w:cs="Noto Sans CJK SC"/>
          <w:i w:val="0"/>
          <w:caps w:val="0"/>
          <w:color w:val="262626"/>
          <w:spacing w:val="0"/>
          <w:sz w:val="27"/>
          <w:szCs w:val="27"/>
        </w:rPr>
      </w:pPr>
      <w:bookmarkStart w:id="0" w:name="_GoBack"/>
      <w:r>
        <w:rPr>
          <w:rStyle w:val="8"/>
          <w:rFonts w:hint="eastAsia" w:ascii="宋体" w:hAnsi="宋体" w:eastAsia="宋体" w:cs="宋体"/>
          <w:b/>
          <w:i w:val="0"/>
          <w:caps w:val="0"/>
          <w:color w:val="262626"/>
          <w:spacing w:val="0"/>
          <w:sz w:val="40"/>
          <w:szCs w:val="40"/>
        </w:rPr>
        <w:t>商务部关于印发《对外承包工程业务统计调查制度》和《对外劳务合作业务统计调查制度》的通知</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center"/>
        <w:rPr>
          <w:rFonts w:hint="default" w:ascii="仿宋" w:hAnsi="仿宋" w:eastAsia="仿宋" w:cs="仿宋"/>
          <w:i w:val="0"/>
          <w:caps w:val="0"/>
          <w:color w:val="262626"/>
          <w:spacing w:val="0"/>
          <w:sz w:val="31"/>
          <w:szCs w:val="31"/>
        </w:rPr>
      </w:pPr>
      <w:r>
        <w:rPr>
          <w:rFonts w:hint="eastAsia" w:ascii="仿宋_GB2312" w:hAnsi="仿宋_GB2312" w:eastAsia="仿宋_GB2312" w:cs="仿宋_GB2312"/>
          <w:i w:val="0"/>
          <w:caps w:val="0"/>
          <w:color w:val="262626"/>
          <w:spacing w:val="0"/>
          <w:sz w:val="31"/>
          <w:szCs w:val="31"/>
        </w:rPr>
        <w:t>商合函</w:t>
      </w:r>
      <w:r>
        <w:rPr>
          <w:rFonts w:ascii="仿宋" w:hAnsi="仿宋" w:eastAsia="仿宋" w:cs="仿宋"/>
          <w:i w:val="0"/>
          <w:caps w:val="0"/>
          <w:color w:val="262626"/>
          <w:spacing w:val="0"/>
          <w:sz w:val="31"/>
          <w:szCs w:val="31"/>
        </w:rPr>
        <w:t>〔</w:t>
      </w:r>
      <w:r>
        <w:rPr>
          <w:rFonts w:hint="default" w:ascii="仿宋" w:hAnsi="仿宋" w:eastAsia="仿宋" w:cs="仿宋"/>
          <w:i w:val="0"/>
          <w:caps w:val="0"/>
          <w:color w:val="262626"/>
          <w:spacing w:val="0"/>
          <w:sz w:val="31"/>
          <w:szCs w:val="31"/>
        </w:rPr>
        <w:t>20</w:t>
      </w:r>
      <w:r>
        <w:rPr>
          <w:rFonts w:hint="eastAsia" w:ascii="仿宋" w:hAnsi="仿宋" w:eastAsia="仿宋" w:cs="仿宋"/>
          <w:i w:val="0"/>
          <w:caps w:val="0"/>
          <w:color w:val="262626"/>
          <w:spacing w:val="0"/>
          <w:sz w:val="31"/>
          <w:szCs w:val="31"/>
          <w:lang w:val="en-US" w:eastAsia="zh-CN"/>
        </w:rPr>
        <w:t>22</w:t>
      </w:r>
      <w:r>
        <w:rPr>
          <w:rFonts w:hint="default" w:ascii="仿宋" w:hAnsi="仿宋" w:eastAsia="仿宋" w:cs="仿宋"/>
          <w:i w:val="0"/>
          <w:caps w:val="0"/>
          <w:color w:val="262626"/>
          <w:spacing w:val="0"/>
          <w:sz w:val="31"/>
          <w:szCs w:val="31"/>
        </w:rPr>
        <w:t>〕</w:t>
      </w:r>
      <w:r>
        <w:rPr>
          <w:rFonts w:hint="eastAsia" w:ascii="仿宋" w:hAnsi="仿宋" w:eastAsia="仿宋" w:cs="仿宋"/>
          <w:i w:val="0"/>
          <w:caps w:val="0"/>
          <w:color w:val="262626"/>
          <w:spacing w:val="0"/>
          <w:sz w:val="31"/>
          <w:szCs w:val="31"/>
          <w:lang w:val="en-US" w:eastAsia="zh-CN"/>
        </w:rPr>
        <w:t>5</w:t>
      </w:r>
      <w:r>
        <w:rPr>
          <w:rFonts w:hint="default" w:ascii="仿宋" w:hAnsi="仿宋" w:eastAsia="仿宋" w:cs="仿宋"/>
          <w:i w:val="0"/>
          <w:caps w:val="0"/>
          <w:color w:val="262626"/>
          <w:spacing w:val="0"/>
          <w:sz w:val="31"/>
          <w:szCs w:val="31"/>
        </w:rPr>
        <w:t>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right"/>
        <w:rPr>
          <w:rFonts w:hint="eastAsia" w:ascii="仿宋" w:hAnsi="仿宋" w:eastAsia="仿宋" w:cs="仿宋"/>
          <w:i w:val="0"/>
          <w:caps w:val="0"/>
          <w:color w:val="262626"/>
          <w:spacing w:val="0"/>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Noto Sans CJK SC" w:hAnsi="Noto Sans CJK SC" w:eastAsia="Noto Sans CJK SC" w:cs="Noto Sans CJK SC"/>
          <w:i w:val="0"/>
          <w:caps w:val="0"/>
          <w:color w:val="262626"/>
          <w:spacing w:val="0"/>
          <w:sz w:val="27"/>
          <w:szCs w:val="27"/>
        </w:rPr>
      </w:pPr>
      <w:r>
        <w:rPr>
          <w:rFonts w:ascii="仿宋_GB2312" w:hAnsi="仿宋_GB2312" w:eastAsia="仿宋_GB2312" w:cs="仿宋_GB2312"/>
          <w:i w:val="0"/>
          <w:caps w:val="0"/>
          <w:color w:val="262626"/>
          <w:spacing w:val="0"/>
          <w:sz w:val="31"/>
          <w:szCs w:val="31"/>
        </w:rPr>
        <w:t>各省、自治区、直辖市</w:t>
      </w:r>
      <w:r>
        <w:rPr>
          <w:rFonts w:hint="eastAsia" w:ascii="仿宋_GB2312" w:hAnsi="仿宋_GB2312" w:eastAsia="仿宋_GB2312" w:cs="仿宋_GB2312"/>
          <w:i w:val="0"/>
          <w:caps w:val="0"/>
          <w:color w:val="262626"/>
          <w:spacing w:val="0"/>
          <w:sz w:val="31"/>
          <w:szCs w:val="31"/>
          <w:lang w:eastAsia="zh-CN"/>
        </w:rPr>
        <w:t>及</w:t>
      </w:r>
      <w:r>
        <w:rPr>
          <w:rFonts w:ascii="仿宋_GB2312" w:hAnsi="仿宋_GB2312" w:eastAsia="仿宋_GB2312" w:cs="仿宋_GB2312"/>
          <w:i w:val="0"/>
          <w:caps w:val="0"/>
          <w:color w:val="262626"/>
          <w:spacing w:val="0"/>
          <w:sz w:val="31"/>
          <w:szCs w:val="31"/>
        </w:rPr>
        <w:t>计划单列市</w:t>
      </w:r>
      <w:r>
        <w:rPr>
          <w:rFonts w:hint="eastAsia" w:ascii="仿宋_GB2312" w:hAnsi="仿宋_GB2312" w:eastAsia="仿宋_GB2312" w:cs="仿宋_GB2312"/>
          <w:i w:val="0"/>
          <w:caps w:val="0"/>
          <w:color w:val="262626"/>
          <w:spacing w:val="0"/>
          <w:sz w:val="31"/>
          <w:szCs w:val="31"/>
          <w:lang w:eastAsia="zh-CN"/>
        </w:rPr>
        <w:t>、</w:t>
      </w:r>
      <w:r>
        <w:rPr>
          <w:rFonts w:ascii="仿宋_GB2312" w:hAnsi="仿宋_GB2312" w:eastAsia="仿宋_GB2312" w:cs="仿宋_GB2312"/>
          <w:i w:val="0"/>
          <w:caps w:val="0"/>
          <w:color w:val="262626"/>
          <w:spacing w:val="0"/>
          <w:sz w:val="31"/>
          <w:szCs w:val="31"/>
        </w:rPr>
        <w:t>新疆生产建设兵团商务主管部门，有关企业：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jc w:val="both"/>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根据</w:t>
      </w:r>
      <w:r>
        <w:rPr>
          <w:rFonts w:hint="eastAsia" w:ascii="仿宋_GB2312" w:hAnsi="仿宋_GB2312" w:eastAsia="仿宋_GB2312" w:cs="仿宋_GB2312"/>
          <w:i w:val="0"/>
          <w:caps w:val="0"/>
          <w:color w:val="262626"/>
          <w:spacing w:val="0"/>
          <w:sz w:val="31"/>
          <w:szCs w:val="31"/>
          <w:lang w:eastAsia="zh-CN"/>
        </w:rPr>
        <w:t>国家统计局</w:t>
      </w:r>
      <w:r>
        <w:rPr>
          <w:rFonts w:hint="default" w:ascii="仿宋_GB2312" w:hAnsi="仿宋_GB2312" w:eastAsia="仿宋_GB2312" w:cs="仿宋_GB2312"/>
          <w:i w:val="0"/>
          <w:caps w:val="0"/>
          <w:color w:val="262626"/>
          <w:spacing w:val="0"/>
          <w:sz w:val="31"/>
          <w:szCs w:val="31"/>
        </w:rPr>
        <w:t>《部门统计调查项目管理办法》（2017年国家统计局令第22号）的规定，</w:t>
      </w:r>
      <w:r>
        <w:rPr>
          <w:rFonts w:hint="eastAsia" w:ascii="仿宋_GB2312" w:hAnsi="仿宋_GB2312" w:eastAsia="仿宋_GB2312" w:cs="仿宋_GB2312"/>
          <w:i w:val="0"/>
          <w:caps w:val="0"/>
          <w:color w:val="262626"/>
          <w:spacing w:val="0"/>
          <w:sz w:val="31"/>
          <w:szCs w:val="31"/>
          <w:lang w:eastAsia="zh-CN"/>
        </w:rPr>
        <w:t>商务</w:t>
      </w:r>
      <w:r>
        <w:rPr>
          <w:rFonts w:hint="default" w:ascii="仿宋_GB2312" w:hAnsi="仿宋_GB2312" w:eastAsia="仿宋_GB2312" w:cs="仿宋_GB2312"/>
          <w:i w:val="0"/>
          <w:caps w:val="0"/>
          <w:color w:val="262626"/>
          <w:spacing w:val="0"/>
          <w:sz w:val="31"/>
          <w:szCs w:val="31"/>
        </w:rPr>
        <w:t>部</w:t>
      </w:r>
      <w:r>
        <w:rPr>
          <w:rFonts w:hint="eastAsia" w:ascii="仿宋_GB2312" w:hAnsi="仿宋_GB2312" w:eastAsia="仿宋_GB2312" w:cs="仿宋_GB2312"/>
          <w:i w:val="0"/>
          <w:caps w:val="0"/>
          <w:color w:val="262626"/>
          <w:spacing w:val="0"/>
          <w:sz w:val="31"/>
          <w:szCs w:val="31"/>
          <w:lang w:eastAsia="zh-CN"/>
        </w:rPr>
        <w:t>紧密围绕服务构建新发展格局，立足商务工作“三个重要”定位，</w:t>
      </w:r>
      <w:r>
        <w:rPr>
          <w:rFonts w:hint="default" w:ascii="仿宋_GB2312" w:hAnsi="仿宋_GB2312" w:eastAsia="仿宋_GB2312" w:cs="仿宋_GB2312"/>
          <w:i w:val="0"/>
          <w:caps w:val="0"/>
          <w:color w:val="262626"/>
          <w:spacing w:val="0"/>
          <w:sz w:val="31"/>
          <w:szCs w:val="31"/>
        </w:rPr>
        <w:t>结合近年</w:t>
      </w:r>
      <w:r>
        <w:rPr>
          <w:rFonts w:hint="eastAsia" w:ascii="仿宋_GB2312" w:hAnsi="仿宋_GB2312" w:eastAsia="仿宋_GB2312" w:cs="仿宋_GB2312"/>
          <w:i w:val="0"/>
          <w:caps w:val="0"/>
          <w:color w:val="262626"/>
          <w:spacing w:val="0"/>
          <w:sz w:val="31"/>
          <w:szCs w:val="31"/>
          <w:lang w:eastAsia="zh-CN"/>
        </w:rPr>
        <w:t>我国</w:t>
      </w:r>
      <w:r>
        <w:rPr>
          <w:rFonts w:hint="default" w:ascii="仿宋_GB2312" w:hAnsi="仿宋_GB2312" w:eastAsia="仿宋_GB2312" w:cs="仿宋_GB2312"/>
          <w:i w:val="0"/>
          <w:caps w:val="0"/>
          <w:color w:val="262626"/>
          <w:spacing w:val="0"/>
          <w:sz w:val="31"/>
          <w:szCs w:val="31"/>
        </w:rPr>
        <w:t>对外承包工程和对外劳务合作业务</w:t>
      </w:r>
      <w:r>
        <w:rPr>
          <w:rFonts w:hint="eastAsia" w:ascii="仿宋_GB2312" w:hAnsi="仿宋_GB2312" w:eastAsia="仿宋_GB2312" w:cs="仿宋_GB2312"/>
          <w:i w:val="0"/>
          <w:caps w:val="0"/>
          <w:color w:val="262626"/>
          <w:spacing w:val="0"/>
          <w:sz w:val="31"/>
          <w:szCs w:val="31"/>
          <w:lang w:eastAsia="zh-CN"/>
        </w:rPr>
        <w:t>特点和管理需要，</w:t>
      </w:r>
      <w:r>
        <w:rPr>
          <w:rFonts w:hint="default" w:ascii="仿宋_GB2312" w:hAnsi="仿宋_GB2312" w:eastAsia="仿宋_GB2312" w:cs="仿宋_GB2312"/>
          <w:i w:val="0"/>
          <w:caps w:val="0"/>
          <w:color w:val="262626"/>
          <w:spacing w:val="0"/>
          <w:sz w:val="31"/>
          <w:szCs w:val="31"/>
        </w:rPr>
        <w:t>对201</w:t>
      </w:r>
      <w:r>
        <w:rPr>
          <w:rFonts w:hint="eastAsia" w:ascii="仿宋_GB2312" w:hAnsi="仿宋_GB2312" w:eastAsia="仿宋_GB2312" w:cs="仿宋_GB2312"/>
          <w:i w:val="0"/>
          <w:caps w:val="0"/>
          <w:color w:val="262626"/>
          <w:spacing w:val="0"/>
          <w:sz w:val="31"/>
          <w:szCs w:val="31"/>
          <w:lang w:val="en-US" w:eastAsia="zh-CN"/>
        </w:rPr>
        <w:t>9</w:t>
      </w:r>
      <w:r>
        <w:rPr>
          <w:rFonts w:hint="default" w:ascii="仿宋_GB2312" w:hAnsi="仿宋_GB2312" w:eastAsia="仿宋_GB2312" w:cs="仿宋_GB2312"/>
          <w:i w:val="0"/>
          <w:caps w:val="0"/>
          <w:color w:val="262626"/>
          <w:spacing w:val="0"/>
          <w:sz w:val="31"/>
          <w:szCs w:val="31"/>
        </w:rPr>
        <w:t>年1月</w:t>
      </w:r>
      <w:r>
        <w:rPr>
          <w:rFonts w:hint="eastAsia" w:ascii="仿宋_GB2312" w:hAnsi="仿宋_GB2312" w:eastAsia="仿宋_GB2312" w:cs="仿宋_GB2312"/>
          <w:i w:val="0"/>
          <w:caps w:val="0"/>
          <w:color w:val="262626"/>
          <w:spacing w:val="0"/>
          <w:sz w:val="31"/>
          <w:szCs w:val="31"/>
          <w:lang w:eastAsia="zh-CN"/>
        </w:rPr>
        <w:t>印</w:t>
      </w:r>
      <w:r>
        <w:rPr>
          <w:rFonts w:hint="default" w:ascii="仿宋_GB2312" w:hAnsi="仿宋_GB2312" w:eastAsia="仿宋_GB2312" w:cs="仿宋_GB2312"/>
          <w:i w:val="0"/>
          <w:caps w:val="0"/>
          <w:color w:val="262626"/>
          <w:spacing w:val="0"/>
          <w:sz w:val="31"/>
          <w:szCs w:val="31"/>
        </w:rPr>
        <w:t>发的《对外承包工程业务统计</w:t>
      </w:r>
      <w:r>
        <w:rPr>
          <w:rFonts w:hint="eastAsia" w:ascii="仿宋_GB2312" w:hAnsi="仿宋_GB2312" w:eastAsia="仿宋_GB2312" w:cs="仿宋_GB2312"/>
          <w:i w:val="0"/>
          <w:caps w:val="0"/>
          <w:color w:val="262626"/>
          <w:spacing w:val="0"/>
          <w:sz w:val="31"/>
          <w:szCs w:val="31"/>
          <w:lang w:eastAsia="zh-CN"/>
        </w:rPr>
        <w:t>调查</w:t>
      </w:r>
      <w:r>
        <w:rPr>
          <w:rFonts w:hint="default" w:ascii="仿宋_GB2312" w:hAnsi="仿宋_GB2312" w:eastAsia="仿宋_GB2312" w:cs="仿宋_GB2312"/>
          <w:i w:val="0"/>
          <w:caps w:val="0"/>
          <w:color w:val="262626"/>
          <w:spacing w:val="0"/>
          <w:sz w:val="31"/>
          <w:szCs w:val="31"/>
        </w:rPr>
        <w:t>制度》和《对外劳务合作业务统计</w:t>
      </w:r>
      <w:r>
        <w:rPr>
          <w:rFonts w:hint="eastAsia" w:ascii="仿宋_GB2312" w:hAnsi="仿宋_GB2312" w:eastAsia="仿宋_GB2312" w:cs="仿宋_GB2312"/>
          <w:i w:val="0"/>
          <w:caps w:val="0"/>
          <w:color w:val="262626"/>
          <w:spacing w:val="0"/>
          <w:sz w:val="31"/>
          <w:szCs w:val="31"/>
          <w:lang w:eastAsia="zh-CN"/>
        </w:rPr>
        <w:t>调查</w:t>
      </w:r>
      <w:r>
        <w:rPr>
          <w:rFonts w:hint="default" w:ascii="仿宋_GB2312" w:hAnsi="仿宋_GB2312" w:eastAsia="仿宋_GB2312" w:cs="仿宋_GB2312"/>
          <w:i w:val="0"/>
          <w:caps w:val="0"/>
          <w:color w:val="262626"/>
          <w:spacing w:val="0"/>
          <w:sz w:val="31"/>
          <w:szCs w:val="31"/>
        </w:rPr>
        <w:t>制度》进行了修订，经国家统计局批准执行（国统制</w:t>
      </w:r>
      <w:r>
        <w:rPr>
          <w:rFonts w:hint="default" w:ascii="仿宋" w:hAnsi="仿宋" w:eastAsia="仿宋" w:cs="仿宋"/>
          <w:i w:val="0"/>
          <w:caps w:val="0"/>
          <w:color w:val="262626"/>
          <w:spacing w:val="0"/>
          <w:sz w:val="31"/>
          <w:szCs w:val="31"/>
        </w:rPr>
        <w:t>〔20</w:t>
      </w:r>
      <w:r>
        <w:rPr>
          <w:rFonts w:hint="eastAsia" w:ascii="仿宋" w:hAnsi="仿宋" w:eastAsia="仿宋" w:cs="仿宋"/>
          <w:i w:val="0"/>
          <w:caps w:val="0"/>
          <w:color w:val="262626"/>
          <w:spacing w:val="0"/>
          <w:sz w:val="31"/>
          <w:szCs w:val="31"/>
          <w:lang w:val="en-US" w:eastAsia="zh-CN"/>
        </w:rPr>
        <w:t>21</w:t>
      </w:r>
      <w:r>
        <w:rPr>
          <w:rFonts w:hint="default" w:ascii="仿宋" w:hAnsi="仿宋" w:eastAsia="仿宋" w:cs="仿宋"/>
          <w:i w:val="0"/>
          <w:caps w:val="0"/>
          <w:color w:val="262626"/>
          <w:spacing w:val="0"/>
          <w:sz w:val="31"/>
          <w:szCs w:val="31"/>
        </w:rPr>
        <w:t>〕</w:t>
      </w:r>
      <w:r>
        <w:rPr>
          <w:rFonts w:hint="eastAsia" w:ascii="仿宋" w:hAnsi="仿宋" w:eastAsia="仿宋" w:cs="仿宋"/>
          <w:i w:val="0"/>
          <w:caps w:val="0"/>
          <w:color w:val="262626"/>
          <w:spacing w:val="0"/>
          <w:sz w:val="31"/>
          <w:szCs w:val="31"/>
          <w:lang w:val="en-US" w:eastAsia="zh-CN"/>
        </w:rPr>
        <w:t>208</w:t>
      </w:r>
      <w:r>
        <w:rPr>
          <w:rFonts w:hint="default" w:ascii="仿宋" w:hAnsi="仿宋" w:eastAsia="仿宋" w:cs="仿宋"/>
          <w:i w:val="0"/>
          <w:caps w:val="0"/>
          <w:color w:val="262626"/>
          <w:spacing w:val="0"/>
          <w:sz w:val="31"/>
          <w:szCs w:val="31"/>
        </w:rPr>
        <w:t>号</w:t>
      </w:r>
      <w:r>
        <w:rPr>
          <w:rFonts w:hint="default" w:ascii="仿宋_GB2312" w:hAnsi="仿宋_GB2312" w:eastAsia="仿宋_GB2312" w:cs="仿宋_GB2312"/>
          <w:i w:val="0"/>
          <w:caps w:val="0"/>
          <w:color w:val="262626"/>
          <w:spacing w:val="0"/>
          <w:sz w:val="31"/>
          <w:szCs w:val="31"/>
        </w:rPr>
        <w:t>）。主要修订内容如下：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720"/>
        <w:rPr>
          <w:rFonts w:hint="eastAsia" w:ascii="Noto Sans CJK SC" w:hAnsi="Noto Sans CJK SC" w:eastAsia="Noto Sans CJK SC" w:cs="Noto Sans CJK SC"/>
          <w:i w:val="0"/>
          <w:caps w:val="0"/>
          <w:color w:val="262626"/>
          <w:spacing w:val="0"/>
          <w:sz w:val="27"/>
          <w:szCs w:val="27"/>
        </w:rPr>
      </w:pPr>
      <w:r>
        <w:rPr>
          <w:rFonts w:ascii="黑体" w:hAnsi="宋体" w:eastAsia="黑体" w:cs="黑体"/>
          <w:i w:val="0"/>
          <w:caps w:val="0"/>
          <w:color w:val="262626"/>
          <w:spacing w:val="0"/>
          <w:sz w:val="31"/>
          <w:szCs w:val="31"/>
        </w:rPr>
        <w:t>一、</w:t>
      </w:r>
      <w:r>
        <w:rPr>
          <w:rFonts w:hint="default" w:ascii="黑体" w:hAnsi="宋体" w:eastAsia="黑体" w:cs="黑体"/>
          <w:i w:val="0"/>
          <w:caps w:val="0"/>
          <w:color w:val="262626"/>
          <w:spacing w:val="0"/>
          <w:sz w:val="31"/>
          <w:szCs w:val="31"/>
        </w:rPr>
        <w:t>《对外承包工程业务统计调查制度》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（一）</w:t>
      </w:r>
      <w:r>
        <w:rPr>
          <w:rFonts w:hint="eastAsia" w:ascii="仿宋_GB2312" w:hAnsi="仿宋_GB2312" w:eastAsia="仿宋_GB2312" w:cs="仿宋_GB2312"/>
          <w:color w:val="auto"/>
          <w:kern w:val="0"/>
          <w:sz w:val="32"/>
          <w:szCs w:val="32"/>
          <w:lang w:val="en-US" w:eastAsia="zh-CN" w:bidi="ar"/>
        </w:rPr>
        <w:t>明确对外设计咨询定义，增加“</w:t>
      </w:r>
      <w:r>
        <w:rPr>
          <w:rFonts w:hint="eastAsia" w:ascii="仿宋_GB2312" w:hAnsi="仿宋_GB2312" w:eastAsia="仿宋_GB2312" w:cs="仿宋_GB2312"/>
          <w:sz w:val="32"/>
          <w:szCs w:val="32"/>
          <w:lang w:eastAsia="zh-CN"/>
        </w:rPr>
        <w:t>对外设计咨询</w:t>
      </w:r>
      <w:r>
        <w:rPr>
          <w:rFonts w:hint="eastAsia" w:ascii="仿宋_GB2312" w:hAnsi="仿宋_GB2312" w:eastAsia="仿宋_GB2312" w:cs="仿宋_GB2312"/>
          <w:sz w:val="32"/>
          <w:szCs w:val="32"/>
        </w:rPr>
        <w:t>项目明细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CB3表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i w:val="0"/>
          <w:caps w:val="0"/>
          <w:color w:val="262626"/>
          <w:spacing w:val="0"/>
          <w:sz w:val="31"/>
          <w:szCs w:val="3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（二）</w:t>
      </w:r>
      <w:r>
        <w:rPr>
          <w:rFonts w:hint="eastAsia" w:ascii="仿宋_GB2312" w:hAnsi="仿宋_GB2312" w:eastAsia="仿宋_GB2312" w:cs="仿宋_GB2312"/>
          <w:color w:val="auto"/>
          <w:kern w:val="0"/>
          <w:sz w:val="32"/>
          <w:szCs w:val="32"/>
          <w:lang w:val="en-US" w:eastAsia="zh-CN" w:bidi="ar"/>
        </w:rPr>
        <w:t>增加“</w:t>
      </w:r>
      <w:r>
        <w:rPr>
          <w:rFonts w:hint="eastAsia" w:ascii="仿宋_GB2312" w:hAnsi="仿宋_GB2312" w:eastAsia="仿宋_GB2312" w:cs="仿宋_GB2312"/>
          <w:sz w:val="32"/>
          <w:szCs w:val="32"/>
          <w:lang w:eastAsia="zh-CN"/>
        </w:rPr>
        <w:t>对外承包节能环保清洁</w:t>
      </w:r>
      <w:r>
        <w:rPr>
          <w:rFonts w:hint="eastAsia" w:ascii="仿宋_GB2312" w:hAnsi="仿宋_GB2312" w:eastAsia="仿宋_GB2312" w:cs="仿宋_GB2312"/>
          <w:sz w:val="32"/>
          <w:szCs w:val="32"/>
        </w:rPr>
        <w:t>项目明细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CB4表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i w:val="0"/>
          <w:caps w:val="0"/>
          <w:color w:val="262626"/>
          <w:spacing w:val="0"/>
          <w:sz w:val="31"/>
          <w:szCs w:val="3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jc w:val="left"/>
        <w:rPr>
          <w:rFonts w:hint="eastAsia" w:ascii="仿宋_GB2312" w:hAnsi="仿宋_GB2312" w:eastAsia="仿宋_GB2312" w:cs="仿宋_GB2312"/>
          <w:sz w:val="32"/>
          <w:szCs w:val="32"/>
          <w:lang w:eastAsia="zh-CN"/>
        </w:rPr>
      </w:pPr>
      <w:r>
        <w:rPr>
          <w:rFonts w:hint="default" w:ascii="仿宋_GB2312" w:hAnsi="仿宋_GB2312" w:eastAsia="仿宋_GB2312" w:cs="仿宋_GB2312"/>
          <w:i w:val="0"/>
          <w:caps w:val="0"/>
          <w:color w:val="262626"/>
          <w:spacing w:val="0"/>
          <w:sz w:val="31"/>
          <w:szCs w:val="31"/>
        </w:rPr>
        <w:t>（三）</w:t>
      </w:r>
      <w:r>
        <w:rPr>
          <w:rFonts w:hint="eastAsia" w:ascii="仿宋_GB2312" w:hAnsi="仿宋_GB2312" w:eastAsia="仿宋_GB2312" w:cs="仿宋_GB2312"/>
          <w:sz w:val="32"/>
          <w:szCs w:val="32"/>
          <w:lang w:eastAsia="zh-CN"/>
        </w:rPr>
        <w:t>将“完成营业额的界定”修改为：为避免对外承包工程营业额重报，企业集团（公司）与下属或成员企业间以委托协议（合同）方式实施的工程项目，营业额由对外签订承包工程合同的企业填报。其他情况按照谁施工谁填报原则报送。</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将主要指标解释中“承包工程项目的资金来源”的解释修改为：指企业承揽工程项目的工程款的主要来源，包括：业主自筹、项目所在国政府资金、国际金融机构拨款、援外优惠贷款、优惠出口买方信贷、国内商业性质出口买方信贷、国内出口卖方信贷、其他。</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将主要指标解释中“承包工程项目承包方式”的解释修改为：包括（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）传统承包方式，包括施工或总承包（含设计</w:t>
      </w:r>
      <w:r>
        <w:rPr>
          <w:rFonts w:hint="eastAsia" w:ascii="仿宋_GB2312" w:hAnsi="仿宋_GB2312" w:eastAsia="仿宋_GB2312" w:cs="仿宋_GB2312"/>
          <w:sz w:val="32"/>
          <w:szCs w:val="32"/>
          <w:lang w:val="en-US" w:eastAsia="zh-CN"/>
        </w:rPr>
        <w:t>-建造、设计-采购-施工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）融资模式，指承包商提供融资服务的承包、总承包（如设计</w:t>
      </w:r>
      <w:r>
        <w:rPr>
          <w:rFonts w:hint="eastAsia" w:ascii="仿宋_GB2312" w:hAnsi="仿宋_GB2312" w:eastAsia="仿宋_GB2312" w:cs="仿宋_GB2312"/>
          <w:sz w:val="32"/>
          <w:szCs w:val="32"/>
          <w:lang w:val="en-US" w:eastAsia="zh-CN"/>
        </w:rPr>
        <w:t>-采购-施工+融资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）投资模式，包括特许经营类、公私合营类；（</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）其他，除上述三种模式以外的其他方式。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jc w:val="left"/>
        <w:rPr>
          <w:rFonts w:hint="eastAsia" w:ascii="Noto Sans CJK SC" w:hAnsi="Noto Sans CJK SC" w:eastAsia="Noto Sans CJK SC" w:cs="Noto Sans CJK SC"/>
          <w:i w:val="0"/>
          <w:caps w:val="0"/>
          <w:color w:val="262626"/>
          <w:spacing w:val="0"/>
          <w:sz w:val="27"/>
          <w:szCs w:val="27"/>
        </w:rPr>
      </w:pPr>
      <w:r>
        <w:rPr>
          <w:rFonts w:hint="eastAsia" w:ascii="仿宋_GB2312" w:hAnsi="仿宋_GB2312" w:eastAsia="仿宋_GB2312" w:cs="仿宋_GB2312"/>
          <w:sz w:val="32"/>
          <w:szCs w:val="32"/>
          <w:lang w:eastAsia="zh-CN"/>
        </w:rPr>
        <w:t>（五）增加质量控制内容和附录部分《节能环保清洁类项目界定》</w:t>
      </w:r>
      <w:r>
        <w:rPr>
          <w:rFonts w:hint="default" w:ascii="仿宋_GB2312" w:hAnsi="仿宋_GB2312" w:eastAsia="仿宋_GB2312" w:cs="仿宋_GB2312"/>
          <w:i w:val="0"/>
          <w:caps w:val="0"/>
          <w:color w:val="262626"/>
          <w:spacing w:val="0"/>
          <w:sz w:val="31"/>
          <w:szCs w:val="3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720"/>
        <w:rPr>
          <w:rFonts w:hint="eastAsia" w:ascii="Noto Sans CJK SC" w:hAnsi="Noto Sans CJK SC" w:eastAsia="Noto Sans CJK SC" w:cs="Noto Sans CJK SC"/>
          <w:i w:val="0"/>
          <w:caps w:val="0"/>
          <w:color w:val="262626"/>
          <w:spacing w:val="0"/>
          <w:sz w:val="27"/>
          <w:szCs w:val="27"/>
        </w:rPr>
      </w:pPr>
      <w:r>
        <w:rPr>
          <w:rFonts w:hint="default" w:ascii="黑体" w:hAnsi="宋体" w:eastAsia="黑体" w:cs="黑体"/>
          <w:i w:val="0"/>
          <w:caps w:val="0"/>
          <w:color w:val="262626"/>
          <w:spacing w:val="0"/>
          <w:sz w:val="31"/>
          <w:szCs w:val="31"/>
        </w:rPr>
        <w:t>二、《对外劳务合作业务统计调查制度》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Noto Sans CJK SC" w:hAnsi="Noto Sans CJK SC" w:eastAsia="Noto Sans CJK SC" w:cs="Noto Sans CJK SC"/>
          <w:i w:val="0"/>
          <w:caps w:val="0"/>
          <w:color w:val="262626"/>
          <w:spacing w:val="0"/>
          <w:sz w:val="27"/>
          <w:szCs w:val="27"/>
        </w:rPr>
      </w:pPr>
      <w:r>
        <w:rPr>
          <w:rFonts w:hint="eastAsia" w:ascii="仿宋_GB2312" w:hAnsi="仿宋_GB2312" w:eastAsia="仿宋_GB2312" w:cs="仿宋_GB2312"/>
          <w:sz w:val="32"/>
          <w:szCs w:val="32"/>
          <w:lang w:eastAsia="zh-CN"/>
        </w:rPr>
        <w:t>增加质量控制相关内容，包括开展对外劳务合作业务统计培训、不定期开展统计数据核查等</w:t>
      </w:r>
      <w:r>
        <w:rPr>
          <w:rFonts w:hint="default" w:ascii="仿宋_GB2312" w:hAnsi="仿宋_GB2312" w:eastAsia="仿宋_GB2312" w:cs="仿宋_GB2312"/>
          <w:i w:val="0"/>
          <w:caps w:val="0"/>
          <w:color w:val="262626"/>
          <w:spacing w:val="0"/>
          <w:sz w:val="31"/>
          <w:szCs w:val="3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现将修订后的《对外承包工程业务统计调查制度》和《对外劳务合作业务统计调查制度》印发给你们，自20</w:t>
      </w:r>
      <w:r>
        <w:rPr>
          <w:rFonts w:hint="eastAsia" w:ascii="仿宋_GB2312" w:hAnsi="仿宋_GB2312" w:eastAsia="仿宋_GB2312" w:cs="仿宋_GB2312"/>
          <w:i w:val="0"/>
          <w:caps w:val="0"/>
          <w:color w:val="262626"/>
          <w:spacing w:val="0"/>
          <w:sz w:val="31"/>
          <w:szCs w:val="31"/>
          <w:lang w:val="en-US" w:eastAsia="zh-CN"/>
        </w:rPr>
        <w:t>22</w:t>
      </w:r>
      <w:r>
        <w:rPr>
          <w:rFonts w:hint="default" w:ascii="仿宋_GB2312" w:hAnsi="仿宋_GB2312" w:eastAsia="仿宋_GB2312" w:cs="仿宋_GB2312"/>
          <w:i w:val="0"/>
          <w:caps w:val="0"/>
          <w:color w:val="262626"/>
          <w:spacing w:val="0"/>
          <w:sz w:val="31"/>
          <w:szCs w:val="31"/>
        </w:rPr>
        <w:t>年1月1日起执行，执行期3年。《商务部关于印发&lt;对外承包工程业务统计</w:t>
      </w:r>
      <w:r>
        <w:rPr>
          <w:rFonts w:hint="eastAsia" w:ascii="仿宋_GB2312" w:hAnsi="仿宋_GB2312" w:eastAsia="仿宋_GB2312" w:cs="仿宋_GB2312"/>
          <w:i w:val="0"/>
          <w:caps w:val="0"/>
          <w:color w:val="262626"/>
          <w:spacing w:val="0"/>
          <w:sz w:val="31"/>
          <w:szCs w:val="31"/>
          <w:lang w:eastAsia="zh-CN"/>
        </w:rPr>
        <w:t>调查</w:t>
      </w:r>
      <w:r>
        <w:rPr>
          <w:rFonts w:hint="default" w:ascii="仿宋_GB2312" w:hAnsi="仿宋_GB2312" w:eastAsia="仿宋_GB2312" w:cs="仿宋_GB2312"/>
          <w:i w:val="0"/>
          <w:caps w:val="0"/>
          <w:color w:val="262626"/>
          <w:spacing w:val="0"/>
          <w:sz w:val="31"/>
          <w:szCs w:val="31"/>
        </w:rPr>
        <w:t>制度&gt;和&lt;对外劳务合作业务统计</w:t>
      </w:r>
      <w:r>
        <w:rPr>
          <w:rFonts w:hint="eastAsia" w:ascii="仿宋_GB2312" w:hAnsi="仿宋_GB2312" w:eastAsia="仿宋_GB2312" w:cs="仿宋_GB2312"/>
          <w:i w:val="0"/>
          <w:caps w:val="0"/>
          <w:color w:val="262626"/>
          <w:spacing w:val="0"/>
          <w:sz w:val="31"/>
          <w:szCs w:val="31"/>
          <w:lang w:eastAsia="zh-CN"/>
        </w:rPr>
        <w:t>调查</w:t>
      </w:r>
      <w:r>
        <w:rPr>
          <w:rFonts w:hint="default" w:ascii="仿宋_GB2312" w:hAnsi="仿宋_GB2312" w:eastAsia="仿宋_GB2312" w:cs="仿宋_GB2312"/>
          <w:i w:val="0"/>
          <w:caps w:val="0"/>
          <w:color w:val="262626"/>
          <w:spacing w:val="0"/>
          <w:sz w:val="31"/>
          <w:szCs w:val="31"/>
        </w:rPr>
        <w:t>制度&gt;的通知》（商合函</w:t>
      </w:r>
      <w:r>
        <w:rPr>
          <w:rFonts w:ascii="仿宋" w:hAnsi="仿宋" w:eastAsia="仿宋" w:cs="仿宋"/>
          <w:i w:val="0"/>
          <w:caps w:val="0"/>
          <w:color w:val="262626"/>
          <w:spacing w:val="0"/>
          <w:sz w:val="31"/>
          <w:szCs w:val="31"/>
        </w:rPr>
        <w:t>〔</w:t>
      </w:r>
      <w:r>
        <w:rPr>
          <w:rFonts w:hint="default" w:ascii="仿宋" w:hAnsi="仿宋" w:eastAsia="仿宋" w:cs="仿宋"/>
          <w:i w:val="0"/>
          <w:caps w:val="0"/>
          <w:color w:val="262626"/>
          <w:spacing w:val="0"/>
          <w:sz w:val="31"/>
          <w:szCs w:val="31"/>
        </w:rPr>
        <w:t>20</w:t>
      </w:r>
      <w:r>
        <w:rPr>
          <w:rFonts w:hint="eastAsia" w:ascii="仿宋" w:hAnsi="仿宋" w:eastAsia="仿宋" w:cs="仿宋"/>
          <w:i w:val="0"/>
          <w:caps w:val="0"/>
          <w:color w:val="262626"/>
          <w:spacing w:val="0"/>
          <w:sz w:val="31"/>
          <w:szCs w:val="31"/>
          <w:lang w:val="en-US" w:eastAsia="zh-CN"/>
        </w:rPr>
        <w:t>19</w:t>
      </w:r>
      <w:r>
        <w:rPr>
          <w:rFonts w:hint="default" w:ascii="仿宋" w:hAnsi="仿宋" w:eastAsia="仿宋" w:cs="仿宋"/>
          <w:i w:val="0"/>
          <w:caps w:val="0"/>
          <w:color w:val="262626"/>
          <w:spacing w:val="0"/>
          <w:sz w:val="31"/>
          <w:szCs w:val="31"/>
        </w:rPr>
        <w:t>〕</w:t>
      </w:r>
      <w:r>
        <w:rPr>
          <w:rFonts w:hint="eastAsia" w:ascii="仿宋_GB2312" w:hAnsi="仿宋_GB2312" w:eastAsia="仿宋_GB2312" w:cs="仿宋_GB2312"/>
          <w:i w:val="0"/>
          <w:caps w:val="0"/>
          <w:color w:val="262626"/>
          <w:spacing w:val="0"/>
          <w:sz w:val="31"/>
          <w:szCs w:val="31"/>
          <w:lang w:val="en-US" w:eastAsia="zh-CN"/>
        </w:rPr>
        <w:t>10</w:t>
      </w:r>
      <w:r>
        <w:rPr>
          <w:rFonts w:hint="default" w:ascii="仿宋_GB2312" w:hAnsi="仿宋_GB2312" w:eastAsia="仿宋_GB2312" w:cs="仿宋_GB2312"/>
          <w:i w:val="0"/>
          <w:caps w:val="0"/>
          <w:color w:val="262626"/>
          <w:spacing w:val="0"/>
          <w:sz w:val="31"/>
          <w:szCs w:val="31"/>
        </w:rPr>
        <w:t>号）同时废止。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right"/>
        <w:rPr>
          <w:rFonts w:hint="eastAsia" w:ascii="Noto Sans CJK SC" w:hAnsi="Noto Sans CJK SC" w:eastAsia="仿宋_GB2312" w:cs="Noto Sans CJK SC"/>
          <w:i w:val="0"/>
          <w:caps w:val="0"/>
          <w:color w:val="262626"/>
          <w:spacing w:val="0"/>
          <w:sz w:val="27"/>
          <w:szCs w:val="27"/>
          <w:lang w:val="en-US" w:eastAsia="zh-CN"/>
        </w:rPr>
      </w:pPr>
      <w:r>
        <w:rPr>
          <w:rFonts w:hint="default" w:ascii="仿宋_GB2312" w:hAnsi="仿宋_GB2312" w:eastAsia="仿宋_GB2312" w:cs="仿宋_GB2312"/>
          <w:i w:val="0"/>
          <w:caps w:val="0"/>
          <w:color w:val="262626"/>
          <w:spacing w:val="0"/>
          <w:sz w:val="31"/>
          <w:szCs w:val="31"/>
        </w:rPr>
        <w:t>商 务 部</w:t>
      </w:r>
      <w:r>
        <w:rPr>
          <w:rFonts w:hint="default" w:ascii="仿宋_GB2312" w:hAnsi="仿宋_GB2312" w:eastAsia="仿宋_GB2312" w:cs="仿宋_GB2312"/>
          <w:i w:val="0"/>
          <w:caps w:val="0"/>
          <w:color w:val="262626"/>
          <w:spacing w:val="0"/>
          <w:sz w:val="31"/>
          <w:szCs w:val="31"/>
          <w:lang w:val="en"/>
        </w:rPr>
        <w:t xml:space="preserve">   </w:t>
      </w:r>
      <w:r>
        <w:rPr>
          <w:rFonts w:hint="eastAsia" w:ascii="仿宋_GB2312" w:hAnsi="仿宋_GB2312" w:eastAsia="仿宋_GB2312" w:cs="仿宋_GB2312"/>
          <w:i w:val="0"/>
          <w:caps w:val="0"/>
          <w:color w:val="262626"/>
          <w:spacing w:val="0"/>
          <w:sz w:val="31"/>
          <w:szCs w:val="31"/>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right"/>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20</w:t>
      </w:r>
      <w:r>
        <w:rPr>
          <w:rFonts w:hint="eastAsia" w:ascii="仿宋_GB2312" w:hAnsi="仿宋_GB2312" w:eastAsia="仿宋_GB2312" w:cs="仿宋_GB2312"/>
          <w:i w:val="0"/>
          <w:caps w:val="0"/>
          <w:color w:val="262626"/>
          <w:spacing w:val="0"/>
          <w:sz w:val="31"/>
          <w:szCs w:val="31"/>
          <w:lang w:val="en-US" w:eastAsia="zh-CN"/>
        </w:rPr>
        <w:t>22</w:t>
      </w:r>
      <w:r>
        <w:rPr>
          <w:rFonts w:hint="default" w:ascii="仿宋_GB2312" w:hAnsi="仿宋_GB2312" w:eastAsia="仿宋_GB2312" w:cs="仿宋_GB2312"/>
          <w:i w:val="0"/>
          <w:caps w:val="0"/>
          <w:color w:val="262626"/>
          <w:spacing w:val="0"/>
          <w:sz w:val="31"/>
          <w:szCs w:val="31"/>
        </w:rPr>
        <w:t>年1月</w:t>
      </w:r>
      <w:r>
        <w:rPr>
          <w:rFonts w:hint="eastAsia" w:ascii="仿宋_GB2312" w:hAnsi="仿宋_GB2312" w:eastAsia="仿宋_GB2312" w:cs="仿宋_GB2312"/>
          <w:i w:val="0"/>
          <w:caps w:val="0"/>
          <w:color w:val="262626"/>
          <w:spacing w:val="0"/>
          <w:sz w:val="31"/>
          <w:szCs w:val="31"/>
          <w:lang w:val="en-US" w:eastAsia="zh-CN"/>
        </w:rPr>
        <w:t>12</w:t>
      </w:r>
      <w:r>
        <w:rPr>
          <w:rFonts w:hint="default" w:ascii="仿宋_GB2312" w:hAnsi="仿宋_GB2312" w:eastAsia="仿宋_GB2312" w:cs="仿宋_GB2312"/>
          <w:i w:val="0"/>
          <w:caps w:val="0"/>
          <w:color w:val="262626"/>
          <w:spacing w:val="0"/>
          <w:sz w:val="31"/>
          <w:szCs w:val="31"/>
        </w:rPr>
        <w:t>日</w:t>
      </w:r>
    </w:p>
    <w:p/>
    <w:p>
      <w:pPr>
        <w:tabs>
          <w:tab w:val="left" w:pos="142"/>
        </w:tabs>
        <w:wordWrap/>
        <w:spacing w:line="480" w:lineRule="auto"/>
        <w:jc w:val="left"/>
        <w:rPr>
          <w:rFonts w:hint="default" w:ascii="仿宋_GB2312" w:eastAsia="仿宋_GB2312"/>
          <w:b/>
          <w:bCs/>
          <w:sz w:val="32"/>
          <w:szCs w:val="32"/>
          <w:lang w:val="en-US" w:eastAsia="zh-CN"/>
        </w:rPr>
        <w:sectPr>
          <w:footerReference r:id="rId3" w:type="default"/>
          <w:footerReference r:id="rId4" w:type="even"/>
          <w:pgSz w:w="11906" w:h="16838"/>
          <w:pgMar w:top="1191" w:right="1219" w:bottom="1191" w:left="1219" w:header="851" w:footer="992" w:gutter="0"/>
          <w:pgNumType w:fmt="numberInDash" w:start="4"/>
          <w:cols w:space="720" w:num="1"/>
          <w:docGrid w:type="lines" w:linePitch="312" w:charSpace="0"/>
        </w:sectPr>
      </w:pPr>
    </w:p>
    <w:p>
      <w:pPr>
        <w:tabs>
          <w:tab w:val="left" w:pos="142"/>
        </w:tabs>
        <w:wordWrap/>
        <w:spacing w:line="480" w:lineRule="auto"/>
        <w:jc w:val="left"/>
        <w:rPr>
          <w:rFonts w:hint="default" w:ascii="仿宋_GB2312" w:eastAsia="仿宋_GB2312"/>
          <w:b/>
          <w:bCs/>
          <w:sz w:val="32"/>
          <w:szCs w:val="32"/>
          <w:lang w:val="en-US" w:eastAsia="zh-CN"/>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《对外承包工程业务统计调查制度》</w:t>
      </w:r>
    </w:p>
    <w:p>
      <w:pPr>
        <w:widowControl/>
        <w:spacing w:before="100" w:beforeAutospacing="1" w:after="100" w:afterAutospacing="1" w:line="384" w:lineRule="auto"/>
        <w:jc w:val="center"/>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2021年12月</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r>
        <w:rPr>
          <w:rFonts w:ascii="宋体" w:hAnsi="宋体" w:cs="宋体"/>
          <w:b/>
          <w:kern w:val="0"/>
          <w:sz w:val="32"/>
          <w:szCs w:val="32"/>
          <w:lang w:val="en"/>
        </w:rPr>
        <w:t>本制度</w:t>
      </w:r>
      <w:r>
        <w:rPr>
          <w:rFonts w:hint="eastAsia" w:ascii="宋体" w:hAnsi="宋体" w:cs="宋体"/>
          <w:b/>
          <w:kern w:val="0"/>
          <w:sz w:val="32"/>
          <w:szCs w:val="32"/>
        </w:rPr>
        <w:t>根据《中华人民共和国统计法》和《对外承包工程管理条例》有关规定制定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beforeAutospacing="1" w:after="100" w:afterAutospacing="1" w:line="384" w:lineRule="auto"/>
        <w:ind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384" w:lineRule="auto"/>
        <w:ind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《中华人民共和国统计法》第九条规定：统计机构和统计人员对在统计工作中知悉的国家秘密、商业秘密和个人信息，应当予以保密。</w:t>
      </w:r>
    </w:p>
    <w:p>
      <w:pPr>
        <w:widowControl/>
        <w:wordWrap w:val="0"/>
        <w:spacing w:before="150" w:line="408" w:lineRule="auto"/>
        <w:ind w:firstLine="638" w:firstLineChars="228"/>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《中华人民共和国统计法》第二十五条规定：统计调查中获得的能够识别或者推断单个统计调查对象身份的资料，任何单位和个人不得对外提供、泄露，不得用于统计以外的目的。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《对外承包工程管理条例》第十八条规定，对外承包工程的单位应当定期向商务主管部门报告其开展对外承包工程的情况，并按照国务院商务主管部门和国务院统计部门的规定，向有关部门报送业务统计资料。</w:t>
      </w:r>
    </w:p>
    <w:p>
      <w:pPr>
        <w:widowControl/>
        <w:spacing w:before="100" w:beforeAutospacing="1" w:after="100" w:afterAutospacing="1" w:line="384" w:lineRule="auto"/>
        <w:ind w:firstLine="641" w:firstLineChars="228"/>
        <w:rPr>
          <w:rFonts w:ascii="仿宋_GB2312" w:hAnsi="宋体" w:eastAsia="仿宋_GB2312" w:cs="宋体"/>
          <w:b/>
          <w:kern w:val="0"/>
          <w:sz w:val="28"/>
          <w:szCs w:val="28"/>
        </w:rPr>
      </w:pPr>
    </w:p>
    <w:p>
      <w:pPr>
        <w:widowControl/>
        <w:spacing w:before="100" w:beforeAutospacing="1" w:after="100" w:afterAutospacing="1" w:line="384" w:lineRule="auto"/>
        <w:rPr>
          <w:rFonts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目    录</w:t>
      </w:r>
    </w:p>
    <w:p>
      <w:pPr>
        <w:widowControl/>
        <w:spacing w:before="100" w:beforeAutospacing="1" w:after="100" w:afterAutospacing="1" w:line="360" w:lineRule="auto"/>
        <w:ind w:right="-229" w:rightChars="-109"/>
        <w:jc w:val="distribute"/>
        <w:rPr>
          <w:rFonts w:hint="eastAsia" w:ascii="宋体" w:hAnsi="宋体" w:eastAsia="宋体" w:cs="宋体"/>
          <w:kern w:val="0"/>
          <w:szCs w:val="21"/>
          <w:lang w:eastAsia="zh-CN"/>
        </w:rPr>
      </w:pPr>
      <w:r>
        <w:rPr>
          <w:rFonts w:hint="eastAsia" w:ascii="宋体" w:hAnsi="宋体" w:cs="宋体"/>
          <w:kern w:val="0"/>
          <w:szCs w:val="21"/>
        </w:rPr>
        <w:t xml:space="preserve">一、总说明 </w:t>
      </w:r>
      <w:r>
        <w:rPr>
          <w:rFonts w:hint="eastAsia" w:ascii="宋体" w:hAnsi="宋体"/>
          <w:bCs/>
          <w:szCs w:val="21"/>
        </w:rPr>
        <w:t>………………………………………………………………………………………………</w:t>
      </w:r>
      <w:r>
        <w:rPr>
          <w:rFonts w:hint="eastAsia" w:ascii="宋体" w:hAnsi="宋体"/>
          <w:bCs/>
          <w:szCs w:val="21"/>
          <w:lang w:val="en-US" w:eastAsia="zh-CN"/>
        </w:rPr>
        <w:t>7</w:t>
      </w:r>
    </w:p>
    <w:p>
      <w:pPr>
        <w:widowControl/>
        <w:spacing w:before="100" w:beforeAutospacing="1" w:after="100" w:afterAutospacing="1" w:line="360" w:lineRule="auto"/>
        <w:ind w:right="-229" w:rightChars="-109"/>
        <w:jc w:val="distribute"/>
        <w:rPr>
          <w:rFonts w:hint="default" w:ascii="宋体" w:hAnsi="宋体" w:eastAsia="宋体" w:cs="宋体"/>
          <w:kern w:val="0"/>
          <w:szCs w:val="21"/>
          <w:lang w:val="en-US" w:eastAsia="zh-CN"/>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10</w:t>
      </w:r>
    </w:p>
    <w:p>
      <w:pPr>
        <w:widowControl/>
        <w:spacing w:before="100" w:beforeAutospacing="1" w:after="100" w:afterAutospacing="1" w:line="360" w:lineRule="auto"/>
        <w:ind w:right="-229" w:rightChars="-109"/>
        <w:rPr>
          <w:rFonts w:ascii="宋体" w:hAnsi="宋体" w:cs="宋体"/>
          <w:kern w:val="0"/>
          <w:szCs w:val="21"/>
        </w:rPr>
      </w:pPr>
      <w:r>
        <w:rPr>
          <w:rFonts w:hint="eastAsia" w:ascii="宋体" w:hAnsi="宋体" w:cs="宋体"/>
          <w:kern w:val="0"/>
          <w:szCs w:val="21"/>
        </w:rPr>
        <w:t>三、调查表式</w:t>
      </w:r>
    </w:p>
    <w:p>
      <w:pPr>
        <w:widowControl/>
        <w:spacing w:before="100" w:beforeAutospacing="1" w:after="100" w:afterAutospacing="1" w:line="360" w:lineRule="auto"/>
        <w:ind w:right="-229" w:rightChars="-109" w:firstLine="315" w:firstLineChars="150"/>
        <w:jc w:val="distribute"/>
        <w:rPr>
          <w:rFonts w:hint="default" w:ascii="宋体" w:hAnsi="宋体" w:eastAsia="宋体"/>
          <w:bCs/>
          <w:szCs w:val="21"/>
          <w:lang w:val="en-US" w:eastAsia="zh-CN"/>
        </w:rPr>
      </w:pPr>
      <w:r>
        <w:rPr>
          <w:rFonts w:hint="eastAsia" w:ascii="宋体" w:hAnsi="宋体"/>
          <w:bCs/>
          <w:szCs w:val="21"/>
        </w:rPr>
        <w:t>（一）对外承包工程业务情况（CB1表） ………………………………………………………</w:t>
      </w:r>
      <w:r>
        <w:rPr>
          <w:rFonts w:hint="eastAsia" w:ascii="宋体" w:hAnsi="宋体"/>
          <w:bCs/>
          <w:szCs w:val="21"/>
          <w:lang w:val="en-US" w:eastAsia="zh-CN"/>
        </w:rPr>
        <w:t>11</w:t>
      </w:r>
    </w:p>
    <w:p>
      <w:pPr>
        <w:widowControl/>
        <w:spacing w:before="100" w:beforeAutospacing="1" w:after="100" w:afterAutospacing="1" w:line="360" w:lineRule="auto"/>
        <w:ind w:right="-229" w:rightChars="-109" w:firstLine="315" w:firstLineChars="150"/>
        <w:jc w:val="distribute"/>
        <w:rPr>
          <w:rFonts w:hint="default" w:ascii="宋体" w:hAnsi="宋体" w:eastAsia="宋体"/>
          <w:bCs/>
          <w:szCs w:val="21"/>
          <w:lang w:val="en-US" w:eastAsia="zh-CN"/>
        </w:rPr>
      </w:pPr>
      <w:r>
        <w:rPr>
          <w:rFonts w:hint="eastAsia" w:ascii="宋体" w:hAnsi="宋体"/>
          <w:bCs/>
          <w:szCs w:val="21"/>
        </w:rPr>
        <w:t>（二）对外承包工程项目明细（CB2表）  ………………………………………………………</w:t>
      </w:r>
      <w:r>
        <w:rPr>
          <w:rFonts w:hint="eastAsia" w:ascii="宋体" w:hAnsi="宋体"/>
          <w:bCs/>
          <w:szCs w:val="21"/>
          <w:lang w:val="en-US" w:eastAsia="zh-CN"/>
        </w:rPr>
        <w:t>12</w:t>
      </w:r>
    </w:p>
    <w:p>
      <w:pPr>
        <w:widowControl/>
        <w:spacing w:before="100" w:beforeAutospacing="1" w:after="100" w:afterAutospacing="1" w:line="360" w:lineRule="auto"/>
        <w:ind w:right="-229" w:rightChars="-109" w:firstLine="315" w:firstLineChars="150"/>
        <w:jc w:val="left"/>
        <w:rPr>
          <w:rFonts w:hint="eastAsia" w:ascii="宋体" w:hAnsi="宋体" w:eastAsia="宋体"/>
          <w:bCs/>
          <w:szCs w:val="21"/>
          <w:lang w:eastAsia="zh-CN"/>
        </w:rPr>
      </w:pPr>
      <w:r>
        <w:rPr>
          <w:rFonts w:hint="eastAsia" w:ascii="宋体" w:hAnsi="宋体"/>
          <w:bCs/>
          <w:szCs w:val="21"/>
        </w:rPr>
        <w:t>（三）对外设计咨询项目明细（CB3表）……………………………………………………………………1</w:t>
      </w:r>
      <w:r>
        <w:rPr>
          <w:rFonts w:hint="eastAsia" w:ascii="宋体" w:hAnsi="宋体"/>
          <w:bCs/>
          <w:szCs w:val="21"/>
          <w:lang w:val="en-US" w:eastAsia="zh-CN"/>
        </w:rPr>
        <w:t>3</w:t>
      </w:r>
    </w:p>
    <w:p>
      <w:pPr>
        <w:widowControl/>
        <w:spacing w:before="100" w:beforeAutospacing="1" w:after="100" w:afterAutospacing="1" w:line="360" w:lineRule="auto"/>
        <w:ind w:right="-229" w:rightChars="-109" w:firstLine="315" w:firstLineChars="150"/>
        <w:jc w:val="left"/>
        <w:rPr>
          <w:rFonts w:hint="eastAsia" w:ascii="宋体" w:hAnsi="宋体" w:eastAsia="宋体"/>
          <w:bCs/>
          <w:szCs w:val="21"/>
          <w:lang w:eastAsia="zh-CN"/>
        </w:rPr>
      </w:pPr>
      <w:r>
        <w:rPr>
          <w:rFonts w:hint="eastAsia" w:ascii="宋体" w:hAnsi="宋体"/>
          <w:bCs/>
          <w:szCs w:val="21"/>
        </w:rPr>
        <w:t>（四）对外承包节能环保清洁类项目明细（CB4表）………………………………………………………1</w:t>
      </w:r>
      <w:r>
        <w:rPr>
          <w:rFonts w:hint="eastAsia" w:ascii="宋体" w:hAnsi="宋体"/>
          <w:bCs/>
          <w:szCs w:val="21"/>
          <w:lang w:val="en-US" w:eastAsia="zh-CN"/>
        </w:rPr>
        <w:t>4</w:t>
      </w:r>
    </w:p>
    <w:p>
      <w:pPr>
        <w:widowControl/>
        <w:spacing w:before="100" w:beforeAutospacing="1" w:after="100" w:afterAutospacing="1" w:line="360" w:lineRule="auto"/>
        <w:ind w:right="-229" w:rightChars="-109" w:firstLine="315" w:firstLineChars="150"/>
        <w:jc w:val="distribute"/>
        <w:rPr>
          <w:rFonts w:hint="eastAsia" w:ascii="宋体" w:hAnsi="宋体" w:eastAsia="宋体"/>
          <w:bCs/>
          <w:szCs w:val="21"/>
          <w:lang w:eastAsia="zh-CN"/>
        </w:rPr>
      </w:pPr>
      <w:r>
        <w:rPr>
          <w:rFonts w:hint="eastAsia" w:ascii="宋体" w:hAnsi="宋体"/>
          <w:bCs/>
          <w:szCs w:val="21"/>
        </w:rPr>
        <w:t>（五）新签交通运输建设项目明细（CB5表）…………………………………………………1</w:t>
      </w:r>
      <w:r>
        <w:rPr>
          <w:rFonts w:hint="eastAsia" w:ascii="宋体" w:hAnsi="宋体"/>
          <w:bCs/>
          <w:szCs w:val="21"/>
          <w:lang w:val="en-US" w:eastAsia="zh-CN"/>
        </w:rPr>
        <w:t>5</w:t>
      </w:r>
    </w:p>
    <w:p>
      <w:pPr>
        <w:widowControl/>
        <w:spacing w:before="100" w:beforeAutospacing="1" w:after="100" w:afterAutospacing="1" w:line="360" w:lineRule="auto"/>
        <w:ind w:right="-229" w:rightChars="-109" w:firstLine="315" w:firstLineChars="150"/>
        <w:jc w:val="distribute"/>
        <w:rPr>
          <w:rFonts w:ascii="宋体" w:hAnsi="宋体"/>
          <w:bCs/>
          <w:szCs w:val="21"/>
        </w:rPr>
      </w:pPr>
      <w:r>
        <w:rPr>
          <w:rFonts w:hint="eastAsia" w:ascii="宋体" w:hAnsi="宋体"/>
          <w:bCs/>
          <w:szCs w:val="21"/>
        </w:rPr>
        <w:t>（六）新签电力工程建设项目明细（CB6表）  ………………………………………………1</w:t>
      </w:r>
      <w:r>
        <w:rPr>
          <w:rFonts w:hint="eastAsia" w:ascii="宋体" w:hAnsi="宋体"/>
          <w:bCs/>
          <w:szCs w:val="21"/>
          <w:lang w:val="en-US" w:eastAsia="zh-CN"/>
        </w:rPr>
        <w:t>6</w:t>
      </w:r>
    </w:p>
    <w:p>
      <w:pPr>
        <w:widowControl/>
        <w:spacing w:before="100" w:beforeAutospacing="1" w:after="100" w:afterAutospacing="1" w:line="360" w:lineRule="auto"/>
        <w:ind w:right="-229" w:rightChars="-109"/>
        <w:jc w:val="distribute"/>
        <w:rPr>
          <w:rFonts w:hint="eastAsia" w:ascii="宋体" w:hAnsi="宋体" w:eastAsia="宋体" w:cs="宋体"/>
          <w:kern w:val="0"/>
          <w:szCs w:val="21"/>
          <w:lang w:eastAsia="zh-CN"/>
        </w:rPr>
      </w:pPr>
      <w:r>
        <w:rPr>
          <w:rFonts w:hint="eastAsia" w:ascii="宋体" w:hAnsi="宋体"/>
          <w:bCs/>
          <w:szCs w:val="21"/>
        </w:rPr>
        <w:t>四、主要指标解释  ………………………………………………………………………………………1</w:t>
      </w:r>
      <w:r>
        <w:rPr>
          <w:rFonts w:hint="eastAsia" w:ascii="宋体" w:hAnsi="宋体"/>
          <w:bCs/>
          <w:szCs w:val="21"/>
          <w:lang w:val="en-US" w:eastAsia="zh-CN"/>
        </w:rPr>
        <w:t>7</w:t>
      </w:r>
    </w:p>
    <w:p>
      <w:pPr>
        <w:widowControl/>
        <w:spacing w:before="100" w:beforeAutospacing="1" w:after="100" w:afterAutospacing="1" w:line="360" w:lineRule="auto"/>
        <w:ind w:right="-229" w:rightChars="-109"/>
        <w:rPr>
          <w:rFonts w:ascii="宋体" w:hAnsi="宋体" w:cs="宋体"/>
          <w:kern w:val="0"/>
          <w:szCs w:val="21"/>
        </w:rPr>
      </w:pPr>
      <w:r>
        <w:rPr>
          <w:rFonts w:hint="eastAsia" w:ascii="宋体" w:hAnsi="宋体" w:cs="宋体"/>
          <w:kern w:val="0"/>
          <w:szCs w:val="21"/>
        </w:rPr>
        <w:t>五、附录</w:t>
      </w:r>
    </w:p>
    <w:p>
      <w:pPr>
        <w:widowControl/>
        <w:spacing w:before="100" w:beforeAutospacing="1" w:after="100" w:afterAutospacing="1" w:line="360" w:lineRule="auto"/>
        <w:ind w:right="-229" w:rightChars="-109" w:firstLine="315" w:firstLineChars="150"/>
        <w:jc w:val="distribute"/>
        <w:rPr>
          <w:rFonts w:hint="default" w:ascii="宋体" w:hAnsi="宋体" w:eastAsia="宋体"/>
          <w:bCs/>
          <w:szCs w:val="21"/>
          <w:lang w:val="en-US" w:eastAsia="zh-CN"/>
        </w:rPr>
      </w:pPr>
      <w:r>
        <w:rPr>
          <w:rFonts w:hint="eastAsia" w:ascii="宋体" w:hAnsi="宋体"/>
          <w:bCs/>
          <w:szCs w:val="21"/>
        </w:rPr>
        <w:t>（一）对外承包工程项目分类 ………………………………………………………………………………</w:t>
      </w:r>
      <w:r>
        <w:rPr>
          <w:rFonts w:hint="eastAsia" w:ascii="宋体" w:hAnsi="宋体"/>
          <w:bCs/>
          <w:szCs w:val="21"/>
          <w:lang w:val="en-US" w:eastAsia="zh-CN"/>
        </w:rPr>
        <w:t>20</w:t>
      </w:r>
    </w:p>
    <w:p>
      <w:pPr>
        <w:widowControl/>
        <w:spacing w:before="100" w:beforeAutospacing="1" w:after="100" w:afterAutospacing="1" w:line="360" w:lineRule="auto"/>
        <w:ind w:right="-229" w:rightChars="-109" w:firstLine="315" w:firstLineChars="150"/>
        <w:jc w:val="left"/>
        <w:rPr>
          <w:rFonts w:hint="eastAsia" w:ascii="宋体" w:hAnsi="宋体" w:eastAsia="宋体"/>
          <w:szCs w:val="21"/>
          <w:lang w:val="en-US" w:eastAsia="zh-CN"/>
        </w:rPr>
      </w:pPr>
      <w:r>
        <w:rPr>
          <w:rFonts w:hint="eastAsia" w:ascii="宋体" w:hAnsi="宋体"/>
          <w:bCs/>
          <w:szCs w:val="21"/>
        </w:rPr>
        <w:t>（二）</w:t>
      </w:r>
      <w:r>
        <w:rPr>
          <w:rFonts w:hint="eastAsia" w:ascii="宋体" w:hAnsi="宋体"/>
          <w:szCs w:val="21"/>
        </w:rPr>
        <w:t>国民经济行业分类目录 ………………………………………………………………………………2</w:t>
      </w:r>
      <w:r>
        <w:rPr>
          <w:rFonts w:hint="eastAsia" w:ascii="宋体" w:hAnsi="宋体"/>
          <w:szCs w:val="21"/>
          <w:lang w:val="en-US" w:eastAsia="zh-CN"/>
        </w:rPr>
        <w:t>3</w:t>
      </w:r>
    </w:p>
    <w:p>
      <w:pPr>
        <w:widowControl/>
        <w:spacing w:before="100" w:beforeAutospacing="1" w:after="100" w:afterAutospacing="1" w:line="360" w:lineRule="auto"/>
        <w:ind w:right="-229" w:rightChars="-109" w:firstLine="315" w:firstLineChars="150"/>
        <w:rPr>
          <w:rFonts w:hint="eastAsia" w:ascii="宋体" w:hAnsi="宋体" w:eastAsia="宋体"/>
          <w:szCs w:val="21"/>
          <w:lang w:eastAsia="zh-CN"/>
        </w:rPr>
      </w:pPr>
      <w:r>
        <w:rPr>
          <w:rFonts w:hint="eastAsia" w:ascii="宋体" w:hAnsi="宋体"/>
          <w:szCs w:val="21"/>
        </w:rPr>
        <w:t>（三）节能环保清洁类项目界定 ……………………………………………………………………………2</w:t>
      </w:r>
      <w:r>
        <w:rPr>
          <w:rFonts w:hint="eastAsia" w:ascii="宋体" w:hAnsi="宋体"/>
          <w:szCs w:val="21"/>
          <w:lang w:val="en-US" w:eastAsia="zh-CN"/>
        </w:rPr>
        <w:t>5</w:t>
      </w:r>
    </w:p>
    <w:p>
      <w:pPr>
        <w:widowControl/>
        <w:spacing w:before="100" w:beforeAutospacing="1" w:after="100" w:afterAutospacing="1" w:line="360" w:lineRule="auto"/>
        <w:ind w:right="-229" w:rightChars="-109" w:firstLine="315" w:firstLineChars="150"/>
        <w:jc w:val="distribute"/>
        <w:rPr>
          <w:rFonts w:hint="eastAsia" w:ascii="宋体" w:hAnsi="宋体" w:eastAsia="宋体"/>
          <w:bCs/>
          <w:szCs w:val="21"/>
          <w:lang w:eastAsia="zh-CN"/>
        </w:rPr>
      </w:pPr>
      <w:r>
        <w:rPr>
          <w:rFonts w:hint="eastAsia" w:ascii="宋体" w:hAnsi="宋体"/>
          <w:bCs/>
          <w:szCs w:val="21"/>
        </w:rPr>
        <w:t>（四）关于统计上对公有和非公有控股经济的分类办法 ………………………………………2</w:t>
      </w:r>
      <w:r>
        <w:rPr>
          <w:rFonts w:hint="eastAsia" w:ascii="宋体" w:hAnsi="宋体"/>
          <w:bCs/>
          <w:szCs w:val="21"/>
          <w:lang w:val="en-US" w:eastAsia="zh-CN"/>
        </w:rPr>
        <w:t>6</w:t>
      </w:r>
    </w:p>
    <w:p>
      <w:pPr>
        <w:widowControl/>
        <w:spacing w:before="100" w:beforeAutospacing="1" w:after="100" w:afterAutospacing="1" w:line="360" w:lineRule="auto"/>
        <w:ind w:right="-229" w:rightChars="-109" w:firstLine="315" w:firstLineChars="150"/>
        <w:jc w:val="distribute"/>
        <w:rPr>
          <w:rFonts w:hint="eastAsia" w:ascii="宋体" w:hAnsi="宋体" w:eastAsia="宋体"/>
          <w:bCs/>
          <w:szCs w:val="21"/>
          <w:lang w:val="en-US" w:eastAsia="zh-CN"/>
        </w:rPr>
      </w:pPr>
      <w:r>
        <w:rPr>
          <w:rFonts w:hint="eastAsia" w:ascii="宋体" w:hAnsi="宋体"/>
          <w:bCs/>
          <w:szCs w:val="21"/>
        </w:rPr>
        <w:t>（五）向国家统计局提供的统计资料清单 …………………………………………………………2</w:t>
      </w:r>
      <w:r>
        <w:rPr>
          <w:rFonts w:hint="eastAsia" w:ascii="宋体" w:hAnsi="宋体"/>
          <w:bCs/>
          <w:szCs w:val="21"/>
          <w:lang w:val="en-US" w:eastAsia="zh-CN"/>
        </w:rPr>
        <w:t>8</w:t>
      </w:r>
    </w:p>
    <w:p>
      <w:pPr>
        <w:widowControl/>
        <w:spacing w:before="100" w:beforeAutospacing="1" w:after="100" w:afterAutospacing="1" w:line="360" w:lineRule="auto"/>
        <w:ind w:right="-229" w:rightChars="-109" w:firstLine="315" w:firstLineChars="150"/>
        <w:jc w:val="distribute"/>
        <w:rPr>
          <w:rFonts w:hint="eastAsia" w:ascii="宋体" w:hAnsi="宋体" w:eastAsia="宋体"/>
          <w:bCs/>
          <w:szCs w:val="21"/>
          <w:lang w:val="en-US" w:eastAsia="zh-CN"/>
        </w:rPr>
      </w:pPr>
      <w:r>
        <w:rPr>
          <w:rFonts w:hint="eastAsia" w:ascii="宋体" w:hAnsi="宋体"/>
          <w:bCs/>
          <w:szCs w:val="21"/>
        </w:rPr>
        <w:t>（六）向统计信息共享数据库提供的统计资料清单 ……………………………………………………2</w:t>
      </w:r>
      <w:r>
        <w:rPr>
          <w:rFonts w:hint="eastAsia" w:ascii="宋体" w:hAnsi="宋体"/>
          <w:bCs/>
          <w:szCs w:val="21"/>
          <w:lang w:val="en-US" w:eastAsia="zh-CN"/>
        </w:rPr>
        <w:t>8</w:t>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一、  总 说 明</w:t>
      </w:r>
    </w:p>
    <w:p>
      <w:pPr>
        <w:pStyle w:val="2"/>
        <w:tabs>
          <w:tab w:val="clear" w:pos="756"/>
        </w:tabs>
        <w:autoSpaceDE w:val="0"/>
        <w:autoSpaceDN w:val="0"/>
        <w:adjustRightInd w:val="0"/>
        <w:snapToGrid w:val="0"/>
        <w:spacing w:line="360" w:lineRule="auto"/>
        <w:ind w:firstLine="422" w:firstLineChars="200"/>
        <w:textAlignment w:val="bottom"/>
        <w:rPr>
          <w:b/>
        </w:rPr>
      </w:pPr>
      <w:r>
        <w:rPr>
          <w:b/>
        </w:rPr>
        <w:t>（一）</w:t>
      </w:r>
      <w:r>
        <w:rPr>
          <w:rFonts w:hint="eastAsia"/>
          <w:b/>
        </w:rPr>
        <w:t>调查目的</w:t>
      </w:r>
    </w:p>
    <w:p>
      <w:pPr>
        <w:pStyle w:val="2"/>
        <w:tabs>
          <w:tab w:val="clear" w:pos="756"/>
        </w:tabs>
        <w:autoSpaceDE w:val="0"/>
        <w:autoSpaceDN w:val="0"/>
        <w:adjustRightInd w:val="0"/>
        <w:snapToGrid w:val="0"/>
        <w:spacing w:line="360" w:lineRule="auto"/>
        <w:ind w:firstLineChars="200"/>
        <w:textAlignment w:val="bottom"/>
      </w:pPr>
      <w:r>
        <w:rPr>
          <w:rFonts w:hint="eastAsia" w:ascii="宋体" w:cs="宋体"/>
          <w:bCs/>
          <w:kern w:val="0"/>
          <w:szCs w:val="21"/>
        </w:rPr>
        <w:t>为科学、有效地组织全国对外承包工程业务统计工作，保障统计资料的准确性、及时性和完整性，充分发挥统计信息、咨询、监督作用，依照《中华人民共和国统计法》（以下简称《统计法》）、《中华人民共和国统计法实施条例》以及《对外承包工程管理条例》特制定本制度。对外承包工程业务统计的基本任务是通过统计调查、统计分析和提供统计资料，真实、准确、完整、及时地反映对外承包工程业务的实际情况，为有关部门制订方针、政策提供可靠的数据支持，它是我国涉外经济统计的重要组成部分。</w:t>
      </w:r>
    </w:p>
    <w:p>
      <w:pPr>
        <w:pStyle w:val="2"/>
        <w:tabs>
          <w:tab w:val="clear" w:pos="756"/>
        </w:tabs>
        <w:autoSpaceDE w:val="0"/>
        <w:autoSpaceDN w:val="0"/>
        <w:adjustRightInd w:val="0"/>
        <w:snapToGrid w:val="0"/>
        <w:spacing w:line="360" w:lineRule="auto"/>
        <w:ind w:firstLine="422" w:firstLineChars="200"/>
        <w:textAlignment w:val="bottom"/>
        <w:rPr>
          <w:b/>
        </w:rPr>
      </w:pPr>
      <w:r>
        <w:rPr>
          <w:b/>
        </w:rPr>
        <w:t>（</w:t>
      </w:r>
      <w:r>
        <w:rPr>
          <w:rFonts w:hint="eastAsia"/>
          <w:b/>
        </w:rPr>
        <w:t>二</w:t>
      </w:r>
      <w:r>
        <w:rPr>
          <w:b/>
        </w:rPr>
        <w:t>）</w:t>
      </w:r>
      <w:r>
        <w:rPr>
          <w:rFonts w:hint="eastAsia"/>
          <w:b/>
        </w:rPr>
        <w:t>调查对象</w:t>
      </w:r>
    </w:p>
    <w:p>
      <w:pPr>
        <w:pStyle w:val="2"/>
        <w:tabs>
          <w:tab w:val="clear" w:pos="756"/>
        </w:tabs>
        <w:autoSpaceDE w:val="0"/>
        <w:autoSpaceDN w:val="0"/>
        <w:adjustRightInd w:val="0"/>
        <w:snapToGrid w:val="0"/>
        <w:spacing w:line="360" w:lineRule="auto"/>
        <w:ind w:firstLineChars="200"/>
        <w:textAlignment w:val="bottom"/>
      </w:pPr>
      <w:r>
        <w:rPr>
          <w:rFonts w:hint="eastAsia" w:ascii="宋体" w:cs="宋体"/>
          <w:bCs/>
          <w:kern w:val="0"/>
          <w:szCs w:val="21"/>
        </w:rPr>
        <w:t>所有发生对外承包工程业务的中国企业和单位。</w:t>
      </w:r>
    </w:p>
    <w:p>
      <w:pPr>
        <w:autoSpaceDE w:val="0"/>
        <w:autoSpaceDN w:val="0"/>
        <w:adjustRightInd w:val="0"/>
        <w:snapToGrid w:val="0"/>
        <w:spacing w:line="360" w:lineRule="auto"/>
        <w:ind w:firstLine="422" w:firstLineChars="200"/>
        <w:textAlignment w:val="bottom"/>
        <w:rPr>
          <w:b/>
        </w:rPr>
      </w:pPr>
      <w:r>
        <w:rPr>
          <w:b/>
        </w:rPr>
        <w:t>（</w:t>
      </w:r>
      <w:r>
        <w:rPr>
          <w:rFonts w:hint="eastAsia"/>
          <w:b/>
        </w:rPr>
        <w:t>三</w:t>
      </w:r>
      <w:r>
        <w:rPr>
          <w:b/>
        </w:rPr>
        <w:t>）</w:t>
      </w:r>
      <w:r>
        <w:rPr>
          <w:rFonts w:hint="eastAsia"/>
          <w:b/>
        </w:rPr>
        <w:t>统计范围</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1、对外承包工程指中国的企业或者其他单位承包境外建设工程项目的活动。本制度适用于我国境内的各级商务主管部门和发生对外承包工程业务的企业或单位（以下简称企业）。</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2、企业承揽的下列业务纳入对外承包工程业务统计：</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（1）承包国（境）外工程项目。指企业按照国际上通行的做法，在国外及港澳台地区承揽和实施的各类工程项目。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（2）承包我国对外经济援助项目。指企业以投标、议标等方式承揽和实施的我国对外经济援助项目。</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（3）承包我国驻外机构工程项目。指企业以投标、议标等方式承揽和实施的我国驻外使（领）馆等工程项目。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（4）企业自带设备，以收取设备使用费、技术服务费等形式承揽和实施的国外及港澳台地区工程项目。</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（5）企业为实施承包工程项目出口的大型成套和机电设备，并负责安装和调试。</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（6）企业</w:t>
      </w:r>
      <w:r>
        <w:rPr>
          <w:rStyle w:val="9"/>
          <w:rFonts w:hint="eastAsia" w:ascii="宋体" w:eastAsia="宋体" w:cs="宋体"/>
          <w:iCs/>
          <w:color w:val="auto"/>
          <w:kern w:val="0"/>
          <w:sz w:val="21"/>
          <w:szCs w:val="21"/>
          <w:lang w:bidi="ar"/>
        </w:rPr>
        <w:t>为境外投资建设项目提供咨询和管理服务，开展相关规划、咨询、勘察、设计、造价、监理、项目管理和运营维护等活动。</w:t>
      </w:r>
      <w:r>
        <w:rPr>
          <w:rFonts w:hint="eastAsia" w:ascii="宋体" w:eastAsia="宋体" w:cs="宋体"/>
          <w:bCs/>
          <w:kern w:val="0"/>
          <w:szCs w:val="21"/>
        </w:rPr>
        <w:t>包括在</w:t>
      </w:r>
      <w:r>
        <w:rPr>
          <w:rFonts w:hint="eastAsia" w:ascii="宋体" w:cs="宋体"/>
          <w:bCs/>
          <w:kern w:val="0"/>
          <w:szCs w:val="21"/>
        </w:rPr>
        <w:t>国外及港澳台地区承担地形地貌测绘，地质资源普查与勘探，建设区域规划，工程设计、生产工艺、技术资料和工程技术咨询，工程项目的可行性考察、研究和评估，工程监理，技术指导、项目运维等经济活动。</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3、企业在国（境）外或并购设立的境外企业承揽的符合上述2规定的项目纳入承包工程统计。</w:t>
      </w:r>
    </w:p>
    <w:p>
      <w:pPr>
        <w:pStyle w:val="2"/>
        <w:tabs>
          <w:tab w:val="clear" w:pos="756"/>
        </w:tabs>
        <w:autoSpaceDE w:val="0"/>
        <w:autoSpaceDN w:val="0"/>
        <w:adjustRightInd w:val="0"/>
        <w:snapToGrid w:val="0"/>
        <w:spacing w:line="360" w:lineRule="auto"/>
        <w:ind w:firstLine="422" w:firstLineChars="200"/>
        <w:textAlignment w:val="bottom"/>
        <w:rPr>
          <w:b/>
        </w:rPr>
      </w:pPr>
      <w:r>
        <w:rPr>
          <w:b/>
        </w:rPr>
        <w:t>（</w:t>
      </w:r>
      <w:r>
        <w:rPr>
          <w:rFonts w:hint="eastAsia"/>
          <w:b/>
        </w:rPr>
        <w:t>四</w:t>
      </w:r>
      <w:r>
        <w:rPr>
          <w:b/>
        </w:rPr>
        <w:t>）</w:t>
      </w:r>
      <w:r>
        <w:rPr>
          <w:rFonts w:hint="eastAsia"/>
          <w:b/>
        </w:rPr>
        <w:t>调查</w:t>
      </w:r>
      <w:r>
        <w:rPr>
          <w:b/>
        </w:rPr>
        <w:t>内容</w:t>
      </w:r>
    </w:p>
    <w:p>
      <w:pPr>
        <w:autoSpaceDE w:val="0"/>
        <w:autoSpaceDN w:val="0"/>
        <w:adjustRightInd w:val="0"/>
        <w:snapToGrid w:val="0"/>
        <w:spacing w:line="360" w:lineRule="auto"/>
        <w:ind w:firstLine="420" w:firstLineChars="200"/>
        <w:textAlignment w:val="bottom"/>
      </w:pPr>
      <w:r>
        <w:rPr>
          <w:rFonts w:hint="eastAsia"/>
        </w:rPr>
        <w:t>对外承包工程业务</w:t>
      </w:r>
      <w:r>
        <w:t>统计报表包括</w:t>
      </w:r>
      <w:r>
        <w:rPr>
          <w:rFonts w:hint="eastAsia"/>
        </w:rPr>
        <w:t>对外承包工程业务情况表</w:t>
      </w:r>
      <w:r>
        <w:rPr>
          <w:rFonts w:hint="eastAsia" w:ascii="宋体" w:hAnsi="宋体" w:cs="宋体"/>
        </w:rPr>
        <w:t>（CB1）、对外承包工程项目明细表（CB2）、</w:t>
      </w:r>
      <w:r>
        <w:rPr>
          <w:rFonts w:hint="eastAsia" w:ascii="宋体" w:hAnsi="宋体" w:cs="宋体"/>
          <w:szCs w:val="21"/>
        </w:rPr>
        <w:t>对外设计咨询项目明细（</w:t>
      </w:r>
      <w:r>
        <w:rPr>
          <w:rFonts w:hint="eastAsia" w:ascii="宋体" w:hAnsi="宋体" w:cs="宋体"/>
        </w:rPr>
        <w:t>CB3</w:t>
      </w:r>
      <w:r>
        <w:rPr>
          <w:rFonts w:hint="eastAsia" w:ascii="宋体" w:hAnsi="宋体" w:cs="宋体"/>
          <w:szCs w:val="21"/>
        </w:rPr>
        <w:t>）、</w:t>
      </w:r>
      <w:r>
        <w:rPr>
          <w:rFonts w:hint="eastAsia" w:ascii="宋体" w:hAnsi="宋体" w:cs="宋体"/>
          <w:bCs/>
          <w:szCs w:val="21"/>
        </w:rPr>
        <w:t>对外承包节能环保清洁类项目明细（</w:t>
      </w:r>
      <w:r>
        <w:rPr>
          <w:rFonts w:hint="eastAsia" w:ascii="宋体" w:hAnsi="宋体" w:cs="宋体"/>
        </w:rPr>
        <w:t>CB4表</w:t>
      </w:r>
      <w:r>
        <w:rPr>
          <w:rFonts w:hint="eastAsia" w:ascii="宋体" w:hAnsi="宋体" w:cs="宋体"/>
          <w:bCs/>
          <w:szCs w:val="21"/>
        </w:rPr>
        <w:t>）、</w:t>
      </w:r>
      <w:r>
        <w:rPr>
          <w:rFonts w:hint="eastAsia" w:ascii="宋体" w:hAnsi="宋体" w:cs="宋体"/>
        </w:rPr>
        <w:t>新签交通运输建设项目明细（CB5）和新签电力工程建设项目明细（CB6）。其中主要指标内容包括：</w:t>
      </w:r>
      <w:r>
        <w:rPr>
          <w:rFonts w:hint="eastAsia" w:ascii="宋体" w:hAnsi="宋体" w:cs="宋体"/>
          <w:bCs/>
          <w:kern w:val="0"/>
          <w:szCs w:val="21"/>
        </w:rPr>
        <w:t>新签合同额、完成营业额、新签铁路（公路）项目线路总里程、新签电力工程项目装机容量、外派人数、月末在外人数、雇佣项目所在国人员数量、</w:t>
      </w:r>
      <w:r>
        <w:rPr>
          <w:rFonts w:hint="eastAsia" w:ascii="宋体" w:hAnsi="宋体"/>
          <w:bCs/>
          <w:szCs w:val="21"/>
        </w:rPr>
        <w:t>雇佣第三国人员数量</w:t>
      </w:r>
      <w:r>
        <w:rPr>
          <w:rFonts w:hint="eastAsia" w:ascii="宋体" w:hAnsi="宋体" w:cs="宋体"/>
          <w:bCs/>
          <w:kern w:val="0"/>
          <w:szCs w:val="21"/>
        </w:rPr>
        <w:t>等。</w:t>
      </w:r>
    </w:p>
    <w:p>
      <w:pPr>
        <w:autoSpaceDE w:val="0"/>
        <w:autoSpaceDN w:val="0"/>
        <w:adjustRightInd w:val="0"/>
        <w:snapToGrid w:val="0"/>
        <w:spacing w:line="360" w:lineRule="auto"/>
        <w:ind w:firstLine="422" w:firstLineChars="200"/>
        <w:textAlignment w:val="bottom"/>
        <w:rPr>
          <w:b/>
          <w:lang w:val="en"/>
        </w:rPr>
      </w:pPr>
      <w:r>
        <w:rPr>
          <w:b/>
        </w:rPr>
        <w:t>（</w:t>
      </w:r>
      <w:r>
        <w:rPr>
          <w:rFonts w:hint="eastAsia"/>
          <w:b/>
        </w:rPr>
        <w:t>五</w:t>
      </w:r>
      <w:r>
        <w:rPr>
          <w:b/>
        </w:rPr>
        <w:t>）</w:t>
      </w:r>
      <w:r>
        <w:rPr>
          <w:rFonts w:hint="eastAsia"/>
          <w:b/>
        </w:rPr>
        <w:t>调查频率</w:t>
      </w:r>
      <w:r>
        <w:rPr>
          <w:b/>
          <w:lang w:val="en"/>
        </w:rPr>
        <w:t>和调查时间</w:t>
      </w:r>
    </w:p>
    <w:p>
      <w:pPr>
        <w:autoSpaceDE w:val="0"/>
        <w:autoSpaceDN w:val="0"/>
        <w:adjustRightInd w:val="0"/>
        <w:snapToGrid w:val="0"/>
        <w:spacing w:line="360" w:lineRule="auto"/>
        <w:ind w:firstLine="420" w:firstLineChars="200"/>
        <w:textAlignment w:val="bottom"/>
      </w:pPr>
      <w:r>
        <w:rPr>
          <w:rFonts w:hint="eastAsia"/>
        </w:rPr>
        <w:t>调查频率为月报。调查时间为1日至当月最后一日。</w:t>
      </w:r>
    </w:p>
    <w:p>
      <w:pPr>
        <w:numPr>
          <w:ilvl w:val="0"/>
          <w:numId w:val="1"/>
        </w:numPr>
        <w:autoSpaceDE w:val="0"/>
        <w:autoSpaceDN w:val="0"/>
        <w:adjustRightInd w:val="0"/>
        <w:snapToGrid w:val="0"/>
        <w:spacing w:line="360" w:lineRule="auto"/>
        <w:ind w:firstLine="422" w:firstLineChars="200"/>
        <w:textAlignment w:val="bottom"/>
        <w:rPr>
          <w:b/>
        </w:rPr>
      </w:pPr>
      <w:r>
        <w:rPr>
          <w:rFonts w:hint="eastAsia"/>
          <w:b/>
        </w:rPr>
        <w:t>调查方法</w:t>
      </w:r>
    </w:p>
    <w:p>
      <w:pPr>
        <w:autoSpaceDE w:val="0"/>
        <w:autoSpaceDN w:val="0"/>
        <w:adjustRightInd w:val="0"/>
        <w:snapToGrid w:val="0"/>
        <w:spacing w:line="360" w:lineRule="auto"/>
        <w:ind w:firstLine="420" w:firstLineChars="200"/>
        <w:textAlignment w:val="bottom"/>
        <w:rPr>
          <w:b/>
        </w:rPr>
      </w:pPr>
      <w:r>
        <w:rPr>
          <w:rFonts w:hint="eastAsia"/>
        </w:rPr>
        <w:t>本制度采用全面调查的方法</w:t>
      </w:r>
      <w:r>
        <w:t>。</w:t>
      </w:r>
    </w:p>
    <w:p>
      <w:pPr>
        <w:autoSpaceDE w:val="0"/>
        <w:autoSpaceDN w:val="0"/>
        <w:adjustRightInd w:val="0"/>
        <w:snapToGrid w:val="0"/>
        <w:spacing w:line="360" w:lineRule="auto"/>
        <w:ind w:firstLine="422" w:firstLineChars="200"/>
        <w:textAlignment w:val="bottom"/>
        <w:rPr>
          <w:b/>
        </w:rPr>
      </w:pPr>
      <w:r>
        <w:rPr>
          <w:rFonts w:hint="eastAsia"/>
          <w:b/>
        </w:rPr>
        <w:t>（七）</w:t>
      </w:r>
      <w:r>
        <w:rPr>
          <w:b/>
        </w:rPr>
        <w:t>组织</w:t>
      </w:r>
      <w:r>
        <w:rPr>
          <w:b/>
          <w:lang w:val="en"/>
        </w:rPr>
        <w:t>实施</w:t>
      </w:r>
      <w:r>
        <w:rPr>
          <w:b/>
        </w:rPr>
        <w:t>方式</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1、组织方式：对外承包工程业务统计实行统一领导，分级管理。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1）商务部负责全国对外承包工程业务统计工作，管理各省、自治区、直辖市、计划单列市商务主管部门以及有关中央管理的企业（不包括在地方的中央管理的企业，以下简称中央企业，下同）的对外承包工程业务统计工作，审核、汇总、编制全国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2）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（3）企业负责本单位的对外承包工程业务统计工作，编制统计资料并上报地方商务主管部门或商务部。</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2、报送渠道：地方企业报地方商务主管部门；中央企业报商务部；地方商务主管部门审核本行政区域内企业的报表后报商务部，同时抄报同级统计部门；商务部汇总全国数据后报国家统计局。 </w:t>
      </w:r>
    </w:p>
    <w:p>
      <w:pPr>
        <w:pStyle w:val="2"/>
        <w:tabs>
          <w:tab w:val="clear" w:pos="756"/>
        </w:tabs>
        <w:autoSpaceDE w:val="0"/>
        <w:autoSpaceDN w:val="0"/>
        <w:adjustRightInd w:val="0"/>
        <w:snapToGrid w:val="0"/>
        <w:spacing w:line="360" w:lineRule="auto"/>
        <w:ind w:firstLine="422" w:firstLineChars="200"/>
        <w:textAlignment w:val="bottom"/>
        <w:rPr>
          <w:rFonts w:ascii="宋体" w:cs="宋体"/>
          <w:b/>
          <w:bCs/>
          <w:kern w:val="0"/>
          <w:szCs w:val="21"/>
        </w:rPr>
      </w:pPr>
      <w:r>
        <w:rPr>
          <w:rFonts w:hint="eastAsia" w:ascii="宋体" w:cs="宋体"/>
          <w:b/>
          <w:bCs/>
          <w:kern w:val="0"/>
          <w:szCs w:val="21"/>
        </w:rPr>
        <w:t>（八）质量控制</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1、企业要认真履行对外承包工程统计报表填报义务，明确统计责任，不得虚报、瞒报、漏报、重报统计数据。</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2、对外承包工程项目签约单位应协调好下属分包单位数据填报工作，确保统计数据质量。</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3、企业是否按照统计制度要求报送对外承包工程统计资料，已列入商务部市场监管执法事项“双随机、一公开”抽查内容。</w:t>
      </w:r>
    </w:p>
    <w:p>
      <w:pPr>
        <w:pStyle w:val="2"/>
        <w:tabs>
          <w:tab w:val="clear" w:pos="756"/>
        </w:tabs>
        <w:autoSpaceDE w:val="0"/>
        <w:autoSpaceDN w:val="0"/>
        <w:adjustRightInd w:val="0"/>
        <w:snapToGrid w:val="0"/>
        <w:spacing w:line="360" w:lineRule="auto"/>
        <w:ind w:firstLineChars="200"/>
        <w:textAlignment w:val="bottom"/>
        <w:rPr>
          <w:szCs w:val="21"/>
        </w:rPr>
      </w:pPr>
      <w:r>
        <w:rPr>
          <w:rFonts w:hint="eastAsia" w:ascii="宋体" w:cs="宋体"/>
          <w:bCs/>
          <w:kern w:val="0"/>
          <w:szCs w:val="21"/>
        </w:rPr>
        <w:t>4、各省级商务主管部门应定期开展对外承包工程业务统计培训，将学习和贯彻统计法律法规纳入培训内容，切实夯实防范和惩治统计造假、弄虚作假责任制，提高统计数据</w:t>
      </w:r>
      <w:r>
        <w:rPr>
          <w:rFonts w:ascii="宋体" w:eastAsia="宋体" w:cs="宋体"/>
          <w:kern w:val="0"/>
          <w:szCs w:val="21"/>
          <w:lang w:bidi="ar"/>
        </w:rPr>
        <w:t>质量</w:t>
      </w:r>
      <w:r>
        <w:rPr>
          <w:rFonts w:hint="eastAsia" w:ascii="宋体" w:eastAsia="宋体" w:cs="宋体"/>
          <w:kern w:val="0"/>
          <w:szCs w:val="21"/>
          <w:lang w:bidi="ar"/>
        </w:rPr>
        <w:t>。</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5、</w:t>
      </w:r>
      <w:r>
        <w:rPr>
          <w:rFonts w:hint="eastAsia" w:ascii="宋体" w:hAnsi="宋体" w:cs="宋体"/>
          <w:kern w:val="0"/>
          <w:szCs w:val="21"/>
        </w:rPr>
        <w:t>各级商务主管部门和企业应加强数据传输的现代化建设，充分运用网络传输手段，全面提高统计工作质量。</w:t>
      </w:r>
      <w:r>
        <w:rPr>
          <w:rFonts w:hint="eastAsia" w:ascii="宋体" w:hAnsi="宋体" w:cs="宋体"/>
          <w:bCs/>
          <w:kern w:val="0"/>
          <w:szCs w:val="21"/>
        </w:rPr>
        <w:t>商务部不定期对企业报送的统计数据进行核查，以保证统计数据的准确性和严肃性。</w:t>
      </w:r>
    </w:p>
    <w:p>
      <w:pPr>
        <w:pStyle w:val="10"/>
        <w:autoSpaceDE w:val="0"/>
        <w:autoSpaceDN w:val="0"/>
        <w:adjustRightInd w:val="0"/>
        <w:snapToGrid w:val="0"/>
        <w:spacing w:line="360" w:lineRule="auto"/>
        <w:ind w:left="422" w:firstLine="0" w:firstLineChars="0"/>
        <w:textAlignment w:val="bottom"/>
        <w:rPr>
          <w:b/>
        </w:rPr>
      </w:pPr>
      <w:r>
        <w:rPr>
          <w:rFonts w:hint="eastAsia"/>
          <w:b/>
        </w:rPr>
        <w:t>（九）报送要求</w:t>
      </w:r>
    </w:p>
    <w:p>
      <w:pPr>
        <w:pStyle w:val="10"/>
        <w:autoSpaceDE w:val="0"/>
        <w:autoSpaceDN w:val="0"/>
        <w:adjustRightInd w:val="0"/>
        <w:snapToGrid w:val="0"/>
        <w:spacing w:line="360" w:lineRule="auto"/>
        <w:ind w:left="120" w:leftChars="57" w:right="-191" w:rightChars="-91" w:firstLine="315" w:firstLineChars="150"/>
        <w:textAlignment w:val="bottom"/>
        <w:rPr>
          <w:bCs/>
          <w:szCs w:val="21"/>
        </w:rPr>
      </w:pPr>
      <w:r>
        <w:rPr>
          <w:rFonts w:hint="eastAsia"/>
          <w:szCs w:val="21"/>
        </w:rPr>
        <w:t>1、月后</w:t>
      </w:r>
      <w:r>
        <w:rPr>
          <w:rFonts w:hint="eastAsia" w:ascii="宋体" w:hAnsi="宋体" w:cs="宋体"/>
          <w:bCs/>
          <w:kern w:val="0"/>
          <w:szCs w:val="21"/>
        </w:rPr>
        <w:t>10</w:t>
      </w:r>
      <w:r>
        <w:rPr>
          <w:rFonts w:hint="eastAsia"/>
          <w:szCs w:val="21"/>
        </w:rPr>
        <w:t>日内，由调查范围内企业通过登录商务部业务系统统一平台（</w:t>
      </w:r>
      <w:r>
        <w:rPr>
          <w:rFonts w:hint="eastAsia" w:ascii="宋体" w:hAnsi="宋体" w:eastAsia="宋体" w:cs="宋体"/>
          <w:bCs/>
          <w:kern w:val="0"/>
          <w:szCs w:val="21"/>
        </w:rPr>
        <w:t>http://ecomp.mofcom.gov.cn</w:t>
      </w:r>
      <w:r>
        <w:rPr>
          <w:rFonts w:hint="eastAsia"/>
          <w:szCs w:val="21"/>
        </w:rPr>
        <w:t>）--对外投资合作信息服务，填报前一个月的数据。</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2、本制度使用的国别（地区）统计代码，按国家统计局制定的《国别（地区）统计代码》执行。</w:t>
      </w:r>
    </w:p>
    <w:p>
      <w:pPr>
        <w:pStyle w:val="2"/>
        <w:tabs>
          <w:tab w:val="clear" w:pos="756"/>
        </w:tabs>
        <w:autoSpaceDE w:val="0"/>
        <w:autoSpaceDN w:val="0"/>
        <w:adjustRightInd w:val="0"/>
        <w:snapToGrid w:val="0"/>
        <w:spacing w:line="360" w:lineRule="auto"/>
        <w:ind w:firstLineChars="200"/>
        <w:textAlignment w:val="bottom"/>
        <w:rPr>
          <w:rFonts w:ascii="宋体"/>
          <w:bCs/>
          <w:szCs w:val="21"/>
        </w:rPr>
      </w:pPr>
      <w:r>
        <w:rPr>
          <w:rFonts w:hint="eastAsia" w:ascii="宋体" w:cs="宋体"/>
          <w:bCs/>
          <w:kern w:val="0"/>
          <w:szCs w:val="21"/>
        </w:rPr>
        <w:t>3、本制度</w:t>
      </w:r>
      <w:r>
        <w:rPr>
          <w:rFonts w:hint="eastAsia" w:ascii="宋体"/>
          <w:bCs/>
          <w:szCs w:val="21"/>
        </w:rPr>
        <w:t>节能环保清洁类项目分类，参照国家统计局《节能环保清洁产业统计分类（2021）》相关标准制定。</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4、本制度对外设计咨询项目明细中涉及国民经济行业分类，按《国民经济行业分类》（GB/T 4754-2017）执行。</w:t>
      </w:r>
    </w:p>
    <w:p>
      <w:pPr>
        <w:pStyle w:val="10"/>
        <w:autoSpaceDE w:val="0"/>
        <w:autoSpaceDN w:val="0"/>
        <w:adjustRightInd w:val="0"/>
        <w:snapToGrid w:val="0"/>
        <w:spacing w:line="360" w:lineRule="auto"/>
        <w:ind w:left="422" w:firstLine="0" w:firstLineChars="0"/>
        <w:textAlignment w:val="bottom"/>
        <w:rPr>
          <w:b/>
        </w:rPr>
      </w:pPr>
      <w:r>
        <w:rPr>
          <w:rFonts w:hint="eastAsia"/>
          <w:b/>
        </w:rPr>
        <w:t>（十）统计资料的管理</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1、企业应当按照国家有关规定设置原始记录、统计台账，建立健全统计资料的审核、签署、交接、归档等管理制度。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2、各省级商务主管部门应当按照国家有关规定建立统计资料的保存、管理制度，建立健全统计信息共享机制。</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3、统计机构和统计人员对在统计工作中知悉的国家秘密、商业秘密和个人信息，应当予以保密。</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4、统计调查中获得的能够识别或者推断单个统计调查对象身份的资料，任何单位和个人不得对外提供、泄露，不得用于统计以外的目的。</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5、各省级商务主管部门和企业应加强跨境数据信息管理，遵守境内外数据信息保护规定和要求，依法合规收集、存储、使用统计数据信息。</w:t>
      </w:r>
    </w:p>
    <w:p>
      <w:pPr>
        <w:pStyle w:val="10"/>
        <w:autoSpaceDE w:val="0"/>
        <w:autoSpaceDN w:val="0"/>
        <w:adjustRightInd w:val="0"/>
        <w:snapToGrid w:val="0"/>
        <w:spacing w:line="360" w:lineRule="auto"/>
        <w:ind w:left="422" w:firstLine="0" w:firstLineChars="0"/>
        <w:textAlignment w:val="bottom"/>
        <w:rPr>
          <w:b/>
          <w:lang w:val="en"/>
        </w:rPr>
      </w:pPr>
      <w:r>
        <w:rPr>
          <w:rFonts w:hint="eastAsia"/>
          <w:b/>
        </w:rPr>
        <w:t>（十一）</w:t>
      </w:r>
      <w:r>
        <w:rPr>
          <w:b/>
          <w:lang w:val="en"/>
        </w:rPr>
        <w:t>信息共享</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lang w:val="en"/>
        </w:rPr>
        <w:t>经批准对外发布的数据，</w:t>
      </w:r>
      <w:r>
        <w:rPr>
          <w:rFonts w:ascii="宋体" w:hAnsi="宋体" w:cs="宋体"/>
          <w:bCs/>
          <w:kern w:val="0"/>
          <w:szCs w:val="21"/>
          <w:lang w:val="en"/>
        </w:rPr>
        <w:t>可</w:t>
      </w:r>
      <w:r>
        <w:rPr>
          <w:rFonts w:hint="eastAsia" w:ascii="宋体" w:hAnsi="宋体" w:cs="宋体"/>
          <w:bCs/>
          <w:kern w:val="0"/>
          <w:szCs w:val="21"/>
          <w:lang w:val="en"/>
        </w:rPr>
        <w:t>按照协定方式</w:t>
      </w:r>
      <w:r>
        <w:rPr>
          <w:rFonts w:ascii="宋体" w:hAnsi="宋体" w:cs="宋体"/>
          <w:bCs/>
          <w:kern w:val="0"/>
          <w:szCs w:val="21"/>
          <w:lang w:val="en"/>
        </w:rPr>
        <w:t>与</w:t>
      </w:r>
      <w:r>
        <w:rPr>
          <w:rFonts w:hint="eastAsia" w:ascii="宋体" w:hAnsi="宋体" w:cs="宋体"/>
          <w:bCs/>
          <w:kern w:val="0"/>
          <w:szCs w:val="21"/>
          <w:lang w:val="en"/>
        </w:rPr>
        <w:t>相关政府</w:t>
      </w:r>
      <w:r>
        <w:rPr>
          <w:rFonts w:ascii="宋体" w:hAnsi="宋体" w:cs="宋体"/>
          <w:bCs/>
          <w:kern w:val="0"/>
          <w:szCs w:val="21"/>
          <w:lang w:val="en"/>
        </w:rPr>
        <w:t>部门共享</w:t>
      </w:r>
      <w:r>
        <w:rPr>
          <w:rFonts w:hint="eastAsia" w:ascii="宋体" w:hAnsi="宋体" w:cs="宋体"/>
          <w:bCs/>
          <w:kern w:val="0"/>
          <w:szCs w:val="21"/>
          <w:lang w:val="en"/>
        </w:rPr>
        <w:t>。在最终审定数据十个工作日后可以共享，</w:t>
      </w:r>
      <w:r>
        <w:rPr>
          <w:rFonts w:ascii="宋体" w:hAnsi="宋体" w:cs="宋体"/>
          <w:bCs/>
          <w:kern w:val="0"/>
          <w:szCs w:val="21"/>
          <w:lang w:val="en"/>
        </w:rPr>
        <w:t>共享责任单位为商务部对外投资和经济合作司</w:t>
      </w:r>
      <w:r>
        <w:rPr>
          <w:rFonts w:hint="eastAsia" w:ascii="宋体" w:hAnsi="宋体" w:cs="宋体"/>
          <w:bCs/>
          <w:kern w:val="0"/>
          <w:szCs w:val="21"/>
          <w:lang w:val="en"/>
        </w:rPr>
        <w:t>，共享责任人为商务部对外投资和经济合作司统计工作负责人</w:t>
      </w:r>
      <w:r>
        <w:rPr>
          <w:rFonts w:hint="eastAsia" w:ascii="宋体" w:hAnsi="宋体" w:cs="宋体"/>
          <w:bCs/>
          <w:kern w:val="0"/>
          <w:szCs w:val="21"/>
        </w:rPr>
        <w:t>。</w:t>
      </w:r>
    </w:p>
    <w:p>
      <w:pPr>
        <w:pStyle w:val="10"/>
        <w:autoSpaceDE w:val="0"/>
        <w:autoSpaceDN w:val="0"/>
        <w:adjustRightInd w:val="0"/>
        <w:snapToGrid w:val="0"/>
        <w:spacing w:line="360" w:lineRule="auto"/>
        <w:ind w:left="422" w:firstLine="0" w:firstLineChars="0"/>
        <w:textAlignment w:val="bottom"/>
        <w:rPr>
          <w:b/>
        </w:rPr>
      </w:pPr>
      <w:r>
        <w:rPr>
          <w:rFonts w:hint="eastAsia"/>
          <w:b/>
        </w:rPr>
        <w:t>（十</w:t>
      </w:r>
      <w:r>
        <w:rPr>
          <w:rFonts w:hint="eastAsia"/>
          <w:b/>
          <w:lang w:val="en"/>
        </w:rPr>
        <w:t>二</w:t>
      </w:r>
      <w:r>
        <w:rPr>
          <w:rFonts w:hint="eastAsia"/>
          <w:b/>
        </w:rPr>
        <w:t>）统计资料公布</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1、对外承包工程业务统计数据由商务部定期发布，月度数据于月后30日内，通过商务部政府网站（http://www.mofcom.gov.cn</w:t>
      </w:r>
      <w:r>
        <w:rPr>
          <w:rFonts w:ascii="宋体" w:hAnsi="宋体" w:cs="宋体"/>
          <w:bCs/>
          <w:kern w:val="0"/>
          <w:szCs w:val="21"/>
        </w:rPr>
        <w:t>）</w:t>
      </w:r>
      <w:r>
        <w:rPr>
          <w:rFonts w:hint="eastAsia" w:ascii="宋体" w:hAnsi="宋体" w:cs="宋体"/>
          <w:bCs/>
          <w:kern w:val="0"/>
          <w:szCs w:val="21"/>
        </w:rPr>
        <w:t>或商务部例行发布会对外公布，主要指标包括新签合同额、完成营业额等。</w:t>
      </w:r>
    </w:p>
    <w:p>
      <w:pPr>
        <w:autoSpaceDE w:val="0"/>
        <w:autoSpaceDN w:val="0"/>
        <w:adjustRightInd w:val="0"/>
        <w:snapToGrid w:val="0"/>
        <w:spacing w:line="360" w:lineRule="auto"/>
        <w:ind w:firstLine="420" w:firstLineChars="200"/>
        <w:textAlignment w:val="bottom"/>
      </w:pPr>
      <w:r>
        <w:rPr>
          <w:rFonts w:hint="eastAsia" w:ascii="宋体" w:hAnsi="宋体" w:cs="宋体"/>
          <w:bCs/>
          <w:kern w:val="0"/>
          <w:szCs w:val="21"/>
        </w:rPr>
        <w:t>2、年后6月30日前，商务部以《年度中国对外承包工程统计年报》方式公布对外承包工程年度业务综合数据。</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3、商务部可根据业务发展的实际情况，对月度对外承包工程业务统计数据进行修订，对外提供的对外承包工程业务统计资料，以商务部发布的统计资料为准。</w:t>
      </w:r>
    </w:p>
    <w:p>
      <w:pPr>
        <w:pStyle w:val="10"/>
        <w:autoSpaceDE w:val="0"/>
        <w:autoSpaceDN w:val="0"/>
        <w:adjustRightInd w:val="0"/>
        <w:snapToGrid w:val="0"/>
        <w:spacing w:line="360" w:lineRule="auto"/>
        <w:ind w:left="422" w:firstLine="0" w:firstLineChars="0"/>
        <w:textAlignment w:val="bottom"/>
        <w:rPr>
          <w:b/>
          <w:lang w:val="en"/>
        </w:rPr>
      </w:pPr>
      <w:r>
        <w:rPr>
          <w:rFonts w:hint="eastAsia"/>
          <w:b/>
        </w:rPr>
        <w:t>（十三）</w:t>
      </w:r>
      <w:r>
        <w:rPr>
          <w:rFonts w:hint="eastAsia"/>
          <w:b/>
          <w:lang w:val="en"/>
        </w:rPr>
        <w:t>使用名录库情况</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无。</w:t>
      </w:r>
      <w:r>
        <w:rPr>
          <w:rFonts w:ascii="宋体" w:hAnsi="宋体" w:cs="宋体"/>
          <w:bCs/>
          <w:kern w:val="0"/>
          <w:szCs w:val="21"/>
        </w:rPr>
        <w:br w:type="page"/>
      </w:r>
    </w:p>
    <w:p>
      <w:pPr>
        <w:jc w:val="center"/>
        <w:rPr>
          <w:rFonts w:ascii="黑体" w:eastAsia="黑体"/>
          <w:b/>
          <w:sz w:val="32"/>
          <w:szCs w:val="32"/>
        </w:rPr>
      </w:pPr>
      <w:r>
        <w:rPr>
          <w:rFonts w:hint="eastAsia" w:ascii="黑体" w:eastAsia="黑体"/>
          <w:b/>
          <w:sz w:val="32"/>
          <w:szCs w:val="32"/>
        </w:rPr>
        <w:t>二</w:t>
      </w:r>
      <w:r>
        <w:rPr>
          <w:rFonts w:hint="eastAsia" w:ascii="黑体" w:eastAsia="黑体"/>
          <w:b/>
          <w:sz w:val="32"/>
          <w:szCs w:val="32"/>
        </w:rPr>
        <w:tab/>
      </w:r>
      <w:r>
        <w:rPr>
          <w:rFonts w:hint="eastAsia" w:ascii="黑体" w:eastAsia="黑体"/>
          <w:b/>
          <w:sz w:val="32"/>
          <w:szCs w:val="32"/>
        </w:rPr>
        <w:t>、</w:t>
      </w:r>
      <w:r>
        <w:rPr>
          <w:rFonts w:hint="eastAsia" w:ascii="黑体" w:eastAsia="黑体"/>
          <w:b/>
          <w:sz w:val="32"/>
          <w:szCs w:val="32"/>
        </w:rPr>
        <w:tab/>
      </w:r>
      <w:r>
        <w:rPr>
          <w:rFonts w:hint="eastAsia" w:ascii="黑体" w:eastAsia="黑体"/>
          <w:b/>
          <w:sz w:val="32"/>
          <w:szCs w:val="32"/>
        </w:rPr>
        <w:t>报 表 目 录</w:t>
      </w:r>
    </w:p>
    <w:p>
      <w:pPr>
        <w:rPr>
          <w:rFonts w:ascii="黑体" w:eastAsia="黑体"/>
          <w:sz w:val="24"/>
        </w:rPr>
      </w:pPr>
    </w:p>
    <w:p>
      <w:pPr>
        <w:rPr>
          <w:rFonts w:ascii="黑体" w:eastAsia="黑体"/>
          <w:sz w:val="24"/>
        </w:rPr>
      </w:pPr>
    </w:p>
    <w:tbl>
      <w:tblPr>
        <w:tblStyle w:val="6"/>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09"/>
        <w:gridCol w:w="772"/>
        <w:gridCol w:w="1742"/>
        <w:gridCol w:w="1732"/>
        <w:gridCol w:w="154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Borders>
              <w:left w:val="nil"/>
            </w:tcBorders>
            <w:noWrap w:val="0"/>
            <w:vAlign w:val="center"/>
          </w:tcPr>
          <w:p>
            <w:pPr>
              <w:ind w:left="-178" w:leftChars="-85" w:right="-105" w:rightChars="-50"/>
              <w:jc w:val="center"/>
              <w:rPr>
                <w:rFonts w:ascii="宋体" w:hAnsi="宋体"/>
                <w:b/>
                <w:bCs/>
                <w:sz w:val="18"/>
                <w:szCs w:val="18"/>
              </w:rPr>
            </w:pPr>
            <w:r>
              <w:rPr>
                <w:rFonts w:hint="eastAsia" w:ascii="宋体" w:hAnsi="宋体"/>
                <w:b/>
                <w:bCs/>
                <w:sz w:val="18"/>
                <w:szCs w:val="18"/>
              </w:rPr>
              <w:t>表号</w:t>
            </w:r>
          </w:p>
        </w:tc>
        <w:tc>
          <w:tcPr>
            <w:tcW w:w="2409" w:type="dxa"/>
            <w:noWrap w:val="0"/>
            <w:vAlign w:val="center"/>
          </w:tcPr>
          <w:p>
            <w:pPr>
              <w:ind w:left="-105" w:leftChars="-50" w:right="-105" w:rightChars="-50"/>
              <w:jc w:val="center"/>
              <w:rPr>
                <w:rFonts w:ascii="宋体" w:hAnsi="宋体"/>
                <w:b/>
                <w:bCs/>
                <w:sz w:val="18"/>
                <w:szCs w:val="18"/>
              </w:rPr>
            </w:pPr>
            <w:r>
              <w:rPr>
                <w:rFonts w:hint="eastAsia" w:ascii="宋体" w:hAnsi="宋体"/>
                <w:b/>
                <w:bCs/>
                <w:sz w:val="18"/>
                <w:szCs w:val="18"/>
              </w:rPr>
              <w:t>表    名</w:t>
            </w:r>
          </w:p>
        </w:tc>
        <w:tc>
          <w:tcPr>
            <w:tcW w:w="772" w:type="dxa"/>
            <w:noWrap w:val="0"/>
            <w:vAlign w:val="center"/>
          </w:tcPr>
          <w:p>
            <w:pPr>
              <w:ind w:left="-109" w:leftChars="-52" w:right="-107" w:rightChars="-51"/>
              <w:jc w:val="center"/>
              <w:rPr>
                <w:rFonts w:ascii="宋体" w:hAnsi="宋体"/>
                <w:b/>
                <w:bCs/>
                <w:sz w:val="18"/>
                <w:szCs w:val="18"/>
              </w:rPr>
            </w:pPr>
            <w:r>
              <w:rPr>
                <w:rFonts w:hint="eastAsia" w:ascii="宋体" w:hAnsi="宋体"/>
                <w:b/>
                <w:bCs/>
                <w:sz w:val="18"/>
                <w:szCs w:val="18"/>
              </w:rPr>
              <w:t>报告</w:t>
            </w:r>
          </w:p>
          <w:p>
            <w:pPr>
              <w:ind w:left="-109" w:leftChars="-52" w:right="-107" w:rightChars="-51"/>
              <w:jc w:val="center"/>
              <w:rPr>
                <w:rFonts w:ascii="宋体" w:hAnsi="宋体"/>
                <w:b/>
                <w:bCs/>
                <w:sz w:val="18"/>
                <w:szCs w:val="18"/>
              </w:rPr>
            </w:pPr>
            <w:r>
              <w:rPr>
                <w:rFonts w:hint="eastAsia" w:ascii="宋体" w:hAnsi="宋体"/>
                <w:b/>
                <w:bCs/>
                <w:sz w:val="18"/>
                <w:szCs w:val="18"/>
              </w:rPr>
              <w:t>期别</w:t>
            </w:r>
          </w:p>
        </w:tc>
        <w:tc>
          <w:tcPr>
            <w:tcW w:w="1742" w:type="dxa"/>
            <w:noWrap w:val="0"/>
            <w:vAlign w:val="center"/>
          </w:tcPr>
          <w:p>
            <w:pPr>
              <w:ind w:left="-107" w:leftChars="-51" w:right="-105" w:rightChars="-50"/>
              <w:jc w:val="center"/>
              <w:rPr>
                <w:rFonts w:ascii="宋体" w:hAnsi="宋体"/>
                <w:b/>
                <w:bCs/>
                <w:sz w:val="18"/>
                <w:szCs w:val="18"/>
              </w:rPr>
            </w:pPr>
            <w:r>
              <w:rPr>
                <w:rFonts w:hint="eastAsia" w:ascii="宋体" w:hAnsi="宋体"/>
                <w:b/>
                <w:bCs/>
                <w:sz w:val="18"/>
                <w:szCs w:val="18"/>
              </w:rPr>
              <w:t>填报范围</w:t>
            </w:r>
          </w:p>
        </w:tc>
        <w:tc>
          <w:tcPr>
            <w:tcW w:w="1732" w:type="dxa"/>
            <w:noWrap w:val="0"/>
            <w:vAlign w:val="center"/>
          </w:tcPr>
          <w:p>
            <w:pPr>
              <w:ind w:left="-107" w:leftChars="-52" w:right="-107" w:rightChars="-51" w:hanging="2"/>
              <w:jc w:val="center"/>
              <w:rPr>
                <w:rFonts w:ascii="宋体" w:hAnsi="宋体"/>
                <w:b/>
                <w:bCs/>
                <w:sz w:val="18"/>
                <w:szCs w:val="18"/>
              </w:rPr>
            </w:pPr>
            <w:r>
              <w:rPr>
                <w:rFonts w:hint="eastAsia" w:ascii="宋体" w:hAnsi="宋体"/>
                <w:b/>
                <w:bCs/>
                <w:sz w:val="18"/>
                <w:szCs w:val="18"/>
              </w:rPr>
              <w:t>报送单位</w:t>
            </w:r>
          </w:p>
        </w:tc>
        <w:tc>
          <w:tcPr>
            <w:tcW w:w="1546" w:type="dxa"/>
            <w:noWrap w:val="0"/>
            <w:vAlign w:val="center"/>
          </w:tcPr>
          <w:p>
            <w:pPr>
              <w:ind w:left="-107" w:leftChars="-51" w:right="-82" w:rightChars="-39"/>
              <w:jc w:val="center"/>
              <w:rPr>
                <w:rFonts w:ascii="宋体" w:hAnsi="宋体"/>
                <w:b/>
                <w:bCs/>
                <w:sz w:val="18"/>
                <w:szCs w:val="18"/>
              </w:rPr>
            </w:pPr>
            <w:r>
              <w:rPr>
                <w:rFonts w:hint="eastAsia" w:ascii="宋体" w:hAnsi="宋体"/>
                <w:b/>
                <w:bCs/>
                <w:sz w:val="18"/>
                <w:szCs w:val="18"/>
              </w:rPr>
              <w:t>报送日期</w:t>
            </w:r>
          </w:p>
          <w:p>
            <w:pPr>
              <w:ind w:left="-107" w:leftChars="-51" w:right="-82" w:rightChars="-39"/>
              <w:jc w:val="center"/>
              <w:rPr>
                <w:rFonts w:ascii="宋体" w:hAnsi="宋体"/>
                <w:b/>
                <w:bCs/>
                <w:sz w:val="18"/>
                <w:szCs w:val="18"/>
              </w:rPr>
            </w:pPr>
            <w:r>
              <w:rPr>
                <w:rFonts w:hint="eastAsia" w:ascii="宋体" w:hAnsi="宋体"/>
                <w:b/>
                <w:bCs/>
                <w:sz w:val="18"/>
                <w:szCs w:val="18"/>
              </w:rPr>
              <w:t>及方式</w:t>
            </w:r>
          </w:p>
        </w:tc>
        <w:tc>
          <w:tcPr>
            <w:tcW w:w="962" w:type="dxa"/>
            <w:tcBorders>
              <w:right w:val="nil"/>
            </w:tcBorders>
            <w:noWrap w:val="0"/>
            <w:vAlign w:val="center"/>
          </w:tcPr>
          <w:p>
            <w:pPr>
              <w:ind w:right="-82" w:rightChars="-39"/>
              <w:jc w:val="center"/>
              <w:rPr>
                <w:rFonts w:ascii="宋体" w:hAnsi="宋体"/>
                <w:b/>
                <w:bCs/>
                <w:sz w:val="18"/>
                <w:szCs w:val="18"/>
              </w:rPr>
            </w:pPr>
            <w:r>
              <w:rPr>
                <w:rFonts w:hint="eastAsia" w:ascii="宋体" w:hAnsi="宋体"/>
                <w:b/>
                <w:bCs/>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CB1</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对外承包工程业务情况</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62" w:type="dxa"/>
            <w:tcBorders>
              <w:right w:val="nil"/>
            </w:tcBorders>
            <w:noWrap w:val="0"/>
            <w:vAlign w:val="center"/>
          </w:tcPr>
          <w:p>
            <w:pPr>
              <w:ind w:right="-82" w:rightChars="-39"/>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CB2</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月报</w:t>
            </w:r>
          </w:p>
        </w:tc>
        <w:tc>
          <w:tcPr>
            <w:tcW w:w="1742" w:type="dxa"/>
            <w:noWrap w:val="0"/>
            <w:vAlign w:val="top"/>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732" w:type="dxa"/>
            <w:noWrap w:val="0"/>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CB3</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对外设计咨询项目明细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eastAsia" w:ascii="宋体" w:hAnsi="宋体" w:eastAsia="宋体"/>
                <w:bCs/>
                <w:sz w:val="18"/>
                <w:szCs w:val="18"/>
                <w:lang w:val="en" w:eastAsia="zh-CN"/>
              </w:rPr>
            </w:pPr>
            <w:r>
              <w:rPr>
                <w:rFonts w:hint="default" w:ascii="宋体" w:hAnsi="宋体"/>
                <w:bCs/>
                <w:sz w:val="18"/>
                <w:szCs w:val="18"/>
                <w:lang w:val="en"/>
              </w:rPr>
              <w:t>1</w:t>
            </w:r>
            <w:r>
              <w:rPr>
                <w:rFonts w:hint="eastAsia" w:ascii="宋体" w:hAnsi="宋体"/>
                <w:bCs/>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CB4</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对外承包节能环保清洁类项目明细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eastAsia" w:ascii="宋体" w:hAnsi="宋体" w:eastAsia="宋体"/>
                <w:bCs/>
                <w:sz w:val="18"/>
                <w:szCs w:val="18"/>
                <w:lang w:val="en" w:eastAsia="zh-CN"/>
              </w:rPr>
            </w:pPr>
            <w:r>
              <w:rPr>
                <w:rFonts w:hint="eastAsia" w:ascii="宋体" w:hAnsi="宋体"/>
                <w:bCs/>
                <w:sz w:val="18"/>
                <w:szCs w:val="18"/>
              </w:rPr>
              <w:t>1</w:t>
            </w:r>
            <w:r>
              <w:rPr>
                <w:rFonts w:hint="eastAsia" w:ascii="宋体" w:hAnsi="宋体"/>
                <w:bCs/>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CB5</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新签交通运输建设项目明细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eastAsia" w:ascii="宋体" w:hAnsi="宋体" w:eastAsia="宋体"/>
                <w:bCs/>
                <w:sz w:val="18"/>
                <w:szCs w:val="18"/>
                <w:lang w:val="en" w:eastAsia="zh-CN"/>
              </w:rPr>
            </w:pPr>
            <w:r>
              <w:rPr>
                <w:rFonts w:hint="default" w:ascii="宋体" w:hAnsi="宋体"/>
                <w:bCs/>
                <w:sz w:val="18"/>
                <w:szCs w:val="18"/>
                <w:lang w:val="en"/>
              </w:rPr>
              <w:t>1</w:t>
            </w:r>
            <w:r>
              <w:rPr>
                <w:rFonts w:hint="eastAsia" w:ascii="宋体" w:hAnsi="宋体"/>
                <w:bCs/>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CB6</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新签电力工程建设项目明细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eastAsia" w:ascii="宋体" w:hAnsi="宋体" w:eastAsia="宋体"/>
                <w:bCs/>
                <w:sz w:val="18"/>
                <w:szCs w:val="18"/>
                <w:lang w:val="en" w:eastAsia="zh-CN"/>
              </w:rPr>
            </w:pPr>
            <w:r>
              <w:rPr>
                <w:rFonts w:hint="default" w:ascii="宋体" w:hAnsi="宋体"/>
                <w:bCs/>
                <w:sz w:val="18"/>
                <w:szCs w:val="18"/>
                <w:lang w:val="en"/>
              </w:rPr>
              <w:t>1</w:t>
            </w:r>
            <w:r>
              <w:rPr>
                <w:rFonts w:hint="eastAsia" w:ascii="宋体" w:hAnsi="宋体"/>
                <w:bCs/>
                <w:sz w:val="18"/>
                <w:szCs w:val="18"/>
                <w:lang w:val="en-US" w:eastAsia="zh-CN"/>
              </w:rPr>
              <w:t>6</w:t>
            </w:r>
          </w:p>
        </w:tc>
      </w:tr>
    </w:tbl>
    <w:p>
      <w:pPr>
        <w:rPr>
          <w:rFonts w:ascii="宋体" w:hAnsi="宋体"/>
          <w:b/>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Pr>
        <w:jc w:val="center"/>
        <w:rPr>
          <w:rFonts w:ascii="黑体" w:hAnsi="宋体" w:eastAsia="黑体"/>
          <w:b/>
          <w:sz w:val="32"/>
          <w:szCs w:val="32"/>
        </w:rPr>
      </w:pPr>
      <w:r>
        <w:rPr>
          <w:rFonts w:hint="eastAsia" w:ascii="黑体" w:hAnsi="宋体" w:eastAsia="黑体"/>
          <w:b/>
          <w:sz w:val="32"/>
          <w:szCs w:val="32"/>
        </w:rPr>
        <w:t>三、调 查 表 式</w:t>
      </w:r>
    </w:p>
    <w:p>
      <w:pPr>
        <w:jc w:val="center"/>
        <w:rPr>
          <w:rFonts w:ascii="黑体" w:hAnsi="宋体" w:eastAsia="黑体"/>
          <w:b/>
          <w:sz w:val="32"/>
          <w:szCs w:val="32"/>
        </w:rPr>
      </w:pPr>
    </w:p>
    <w:p>
      <w:pPr>
        <w:jc w:val="center"/>
        <w:rPr>
          <w:rFonts w:ascii="宋体" w:hAnsi="宋体"/>
          <w:b/>
          <w:sz w:val="32"/>
          <w:szCs w:val="32"/>
        </w:rPr>
      </w:pPr>
      <w:r>
        <w:rPr>
          <w:rFonts w:hint="eastAsia" w:ascii="宋体" w:hAnsi="宋体"/>
          <w:b/>
          <w:sz w:val="32"/>
          <w:szCs w:val="32"/>
        </w:rPr>
        <w:t>对外承包工程业务情况</w:t>
      </w:r>
    </w:p>
    <w:p>
      <w:pPr>
        <w:jc w:val="center"/>
        <w:rPr>
          <w:rFonts w:ascii="宋体" w:hAnsi="宋体"/>
          <w:b/>
          <w:szCs w:val="21"/>
        </w:rPr>
      </w:pPr>
    </w:p>
    <w:tbl>
      <w:tblPr>
        <w:tblStyle w:val="6"/>
        <w:tblW w:w="8787" w:type="dxa"/>
        <w:jc w:val="center"/>
        <w:tblInd w:w="0" w:type="dxa"/>
        <w:tblLayout w:type="fixed"/>
        <w:tblCellMar>
          <w:top w:w="0" w:type="dxa"/>
          <w:left w:w="108" w:type="dxa"/>
          <w:bottom w:w="0" w:type="dxa"/>
          <w:right w:w="108" w:type="dxa"/>
        </w:tblCellMar>
      </w:tblPr>
      <w:tblGrid>
        <w:gridCol w:w="5660"/>
        <w:gridCol w:w="3127"/>
      </w:tblGrid>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号：CB1</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计量单位：份、万美元、人</w:t>
            </w:r>
          </w:p>
        </w:tc>
      </w:tr>
    </w:tbl>
    <w:p>
      <w:pPr>
        <w:jc w:val="center"/>
        <w:rPr>
          <w:rFonts w:ascii="宋体" w:hAnsi="宋体"/>
          <w:bCs/>
          <w:sz w:val="18"/>
          <w:szCs w:val="18"/>
        </w:rPr>
      </w:pPr>
      <w:r>
        <w:rPr>
          <w:rFonts w:hint="eastAsia" w:ascii="宋体" w:hAnsi="宋体"/>
          <w:bCs/>
          <w:sz w:val="18"/>
          <w:szCs w:val="18"/>
        </w:rPr>
        <w:t>年       月</w:t>
      </w:r>
    </w:p>
    <w:tbl>
      <w:tblPr>
        <w:tblStyle w:val="6"/>
        <w:tblW w:w="90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84"/>
        <w:gridCol w:w="583"/>
        <w:gridCol w:w="767"/>
        <w:gridCol w:w="655"/>
        <w:gridCol w:w="767"/>
        <w:gridCol w:w="947"/>
        <w:gridCol w:w="1008"/>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1875" w:type="dxa"/>
            <w:tcBorders>
              <w:left w:val="nil"/>
              <w:tl2br w:val="single" w:color="auto" w:sz="4" w:space="0"/>
            </w:tcBorders>
            <w:noWrap w:val="0"/>
            <w:vAlign w:val="top"/>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 xml:space="preserve"> 指标</w:t>
            </w:r>
          </w:p>
          <w:p>
            <w:pPr>
              <w:ind w:firstLine="990" w:firstLineChars="550"/>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国家（地区）</w:t>
            </w:r>
          </w:p>
        </w:tc>
        <w:tc>
          <w:tcPr>
            <w:tcW w:w="984" w:type="dxa"/>
            <w:noWrap w:val="0"/>
            <w:vAlign w:val="top"/>
          </w:tcPr>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新签合同份    数</w:t>
            </w:r>
          </w:p>
          <w:p>
            <w:pPr>
              <w:rPr>
                <w:rFonts w:ascii="宋体" w:hAnsi="宋体"/>
                <w:bCs/>
                <w:sz w:val="18"/>
                <w:szCs w:val="18"/>
              </w:rPr>
            </w:pPr>
          </w:p>
        </w:tc>
        <w:tc>
          <w:tcPr>
            <w:tcW w:w="1350" w:type="dxa"/>
            <w:gridSpan w:val="2"/>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w:t>
            </w:r>
          </w:p>
          <w:p>
            <w:pPr>
              <w:jc w:val="center"/>
              <w:rPr>
                <w:rFonts w:ascii="宋体" w:hAnsi="宋体"/>
                <w:bCs/>
                <w:sz w:val="18"/>
                <w:szCs w:val="18"/>
              </w:rPr>
            </w:pPr>
            <w:r>
              <w:rPr>
                <w:rFonts w:hint="eastAsia" w:ascii="宋体" w:hAnsi="宋体"/>
                <w:bCs/>
                <w:sz w:val="18"/>
                <w:szCs w:val="18"/>
              </w:rPr>
              <w:t>合同额</w:t>
            </w:r>
          </w:p>
        </w:tc>
        <w:tc>
          <w:tcPr>
            <w:tcW w:w="1422" w:type="dxa"/>
            <w:gridSpan w:val="2"/>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完成</w:t>
            </w:r>
          </w:p>
          <w:p>
            <w:pPr>
              <w:jc w:val="center"/>
              <w:rPr>
                <w:rFonts w:ascii="宋体" w:hAnsi="宋体"/>
                <w:bCs/>
                <w:sz w:val="18"/>
                <w:szCs w:val="18"/>
              </w:rPr>
            </w:pPr>
            <w:r>
              <w:rPr>
                <w:rFonts w:hint="eastAsia" w:ascii="宋体" w:hAnsi="宋体"/>
                <w:bCs/>
                <w:sz w:val="18"/>
                <w:szCs w:val="18"/>
              </w:rPr>
              <w:t>营业额</w:t>
            </w:r>
          </w:p>
        </w:tc>
        <w:tc>
          <w:tcPr>
            <w:tcW w:w="947" w:type="dxa"/>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外派</w:t>
            </w:r>
          </w:p>
          <w:p>
            <w:pPr>
              <w:jc w:val="center"/>
              <w:rPr>
                <w:rFonts w:ascii="宋体" w:hAnsi="宋体"/>
                <w:bCs/>
                <w:sz w:val="18"/>
                <w:szCs w:val="18"/>
              </w:rPr>
            </w:pPr>
            <w:r>
              <w:rPr>
                <w:rFonts w:hint="eastAsia" w:ascii="宋体" w:hAnsi="宋体"/>
                <w:bCs/>
                <w:sz w:val="18"/>
                <w:szCs w:val="18"/>
              </w:rPr>
              <w:t>人数</w:t>
            </w:r>
          </w:p>
          <w:p>
            <w:pPr>
              <w:jc w:val="center"/>
              <w:rPr>
                <w:rFonts w:ascii="宋体" w:hAnsi="宋体"/>
                <w:bCs/>
                <w:sz w:val="18"/>
                <w:szCs w:val="18"/>
              </w:rPr>
            </w:pPr>
          </w:p>
        </w:tc>
        <w:tc>
          <w:tcPr>
            <w:tcW w:w="1008" w:type="dxa"/>
            <w:tcBorders>
              <w:right w:val="single" w:color="auto" w:sz="4"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月末在</w:t>
            </w:r>
          </w:p>
          <w:p>
            <w:pPr>
              <w:jc w:val="center"/>
              <w:rPr>
                <w:rFonts w:ascii="宋体" w:hAnsi="宋体"/>
                <w:bCs/>
                <w:sz w:val="18"/>
                <w:szCs w:val="18"/>
              </w:rPr>
            </w:pPr>
            <w:r>
              <w:rPr>
                <w:rFonts w:hint="eastAsia" w:ascii="宋体" w:hAnsi="宋体"/>
                <w:bCs/>
                <w:sz w:val="18"/>
                <w:szCs w:val="18"/>
              </w:rPr>
              <w:t>外人数</w:t>
            </w:r>
          </w:p>
          <w:p>
            <w:pPr>
              <w:jc w:val="center"/>
              <w:rPr>
                <w:rFonts w:ascii="宋体" w:hAnsi="宋体"/>
                <w:bCs/>
                <w:sz w:val="18"/>
                <w:szCs w:val="18"/>
              </w:rPr>
            </w:pPr>
          </w:p>
        </w:tc>
        <w:tc>
          <w:tcPr>
            <w:tcW w:w="1501" w:type="dxa"/>
            <w:tcBorders>
              <w:left w:val="single" w:color="auto" w:sz="4" w:space="0"/>
              <w:right w:val="nil"/>
            </w:tcBorders>
            <w:noWrap w:val="0"/>
            <w:vAlign w:val="top"/>
          </w:tcPr>
          <w:p>
            <w:pPr>
              <w:widowControl/>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月末雇用项目所在国人员数量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tcBorders>
            <w:noWrap w:val="0"/>
            <w:vAlign w:val="top"/>
          </w:tcPr>
          <w:p>
            <w:pPr>
              <w:jc w:val="center"/>
              <w:rPr>
                <w:rFonts w:ascii="宋体" w:hAnsi="宋体"/>
                <w:bCs/>
                <w:sz w:val="18"/>
                <w:szCs w:val="18"/>
              </w:rPr>
            </w:pPr>
            <w:r>
              <w:rPr>
                <w:rFonts w:hint="eastAsia" w:ascii="宋体" w:hAnsi="宋体"/>
                <w:bCs/>
                <w:sz w:val="18"/>
                <w:szCs w:val="18"/>
              </w:rPr>
              <w:t>甲</w:t>
            </w:r>
          </w:p>
        </w:tc>
        <w:tc>
          <w:tcPr>
            <w:tcW w:w="984"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1350" w:type="dxa"/>
            <w:gridSpan w:val="2"/>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1422" w:type="dxa"/>
            <w:gridSpan w:val="2"/>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94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1008" w:type="dxa"/>
            <w:tcBorders>
              <w:bottom w:val="single" w:color="auto" w:sz="4" w:space="0"/>
              <w:right w:val="single" w:color="auto" w:sz="4"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1501" w:type="dxa"/>
            <w:tcBorders>
              <w:left w:val="single" w:color="auto" w:sz="4" w:space="0"/>
              <w:bottom w:val="single" w:color="auto" w:sz="4" w:space="0"/>
              <w:right w:val="nil"/>
            </w:tcBorders>
            <w:noWrap w:val="0"/>
            <w:vAlign w:val="top"/>
          </w:tcPr>
          <w:p>
            <w:pPr>
              <w:jc w:val="center"/>
              <w:rPr>
                <w:rFonts w:ascii="宋体" w:hAnsi="宋体"/>
                <w:b/>
                <w:sz w:val="18"/>
                <w:szCs w:val="18"/>
              </w:rPr>
            </w:pPr>
            <w:r>
              <w:rPr>
                <w:rFonts w:hint="eastAsia" w:ascii="宋体" w:hAnsi="宋体"/>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bottom w:val="nil"/>
            </w:tcBorders>
            <w:noWrap w:val="0"/>
            <w:vAlign w:val="top"/>
          </w:tcPr>
          <w:p>
            <w:pPr>
              <w:rPr>
                <w:rFonts w:ascii="宋体" w:hAnsi="宋体"/>
                <w:bCs/>
                <w:sz w:val="18"/>
                <w:szCs w:val="18"/>
              </w:rPr>
            </w:pPr>
            <w:r>
              <w:rPr>
                <w:rFonts w:hint="eastAsia" w:ascii="宋体" w:hAnsi="宋体"/>
                <w:bCs/>
                <w:sz w:val="18"/>
                <w:szCs w:val="18"/>
              </w:rPr>
              <w:t xml:space="preserve">    合  计</w:t>
            </w:r>
          </w:p>
        </w:tc>
        <w:tc>
          <w:tcPr>
            <w:tcW w:w="984" w:type="dxa"/>
            <w:tcBorders>
              <w:bottom w:val="nil"/>
              <w:right w:val="nil"/>
            </w:tcBorders>
            <w:noWrap w:val="0"/>
            <w:vAlign w:val="top"/>
          </w:tcPr>
          <w:p>
            <w:pPr>
              <w:rPr>
                <w:rFonts w:ascii="宋体" w:hAnsi="宋体"/>
                <w:bCs/>
                <w:sz w:val="18"/>
                <w:szCs w:val="18"/>
              </w:rPr>
            </w:pPr>
          </w:p>
        </w:tc>
        <w:tc>
          <w:tcPr>
            <w:tcW w:w="583" w:type="dxa"/>
            <w:tcBorders>
              <w:left w:val="nil"/>
              <w:bottom w:val="nil"/>
              <w:right w:val="nil"/>
            </w:tcBorders>
            <w:noWrap w:val="0"/>
            <w:vAlign w:val="top"/>
          </w:tcPr>
          <w:p>
            <w:pPr>
              <w:rPr>
                <w:rFonts w:ascii="宋体" w:hAnsi="宋体"/>
                <w:bCs/>
                <w:sz w:val="18"/>
                <w:szCs w:val="18"/>
              </w:rPr>
            </w:pPr>
          </w:p>
        </w:tc>
        <w:tc>
          <w:tcPr>
            <w:tcW w:w="767" w:type="dxa"/>
            <w:tcBorders>
              <w:left w:val="nil"/>
              <w:bottom w:val="nil"/>
              <w:right w:val="nil"/>
            </w:tcBorders>
            <w:noWrap w:val="0"/>
            <w:vAlign w:val="top"/>
          </w:tcPr>
          <w:p>
            <w:pPr>
              <w:rPr>
                <w:rFonts w:ascii="宋体" w:hAnsi="宋体"/>
                <w:bCs/>
                <w:sz w:val="18"/>
                <w:szCs w:val="18"/>
              </w:rPr>
            </w:pPr>
          </w:p>
        </w:tc>
        <w:tc>
          <w:tcPr>
            <w:tcW w:w="655" w:type="dxa"/>
            <w:tcBorders>
              <w:left w:val="nil"/>
              <w:bottom w:val="nil"/>
              <w:right w:val="nil"/>
            </w:tcBorders>
            <w:noWrap w:val="0"/>
            <w:vAlign w:val="top"/>
          </w:tcPr>
          <w:p>
            <w:pPr>
              <w:rPr>
                <w:rFonts w:ascii="宋体" w:hAnsi="宋体"/>
                <w:bCs/>
                <w:sz w:val="18"/>
                <w:szCs w:val="18"/>
              </w:rPr>
            </w:pPr>
          </w:p>
        </w:tc>
        <w:tc>
          <w:tcPr>
            <w:tcW w:w="767" w:type="dxa"/>
            <w:tcBorders>
              <w:left w:val="nil"/>
              <w:bottom w:val="nil"/>
              <w:right w:val="nil"/>
            </w:tcBorders>
            <w:noWrap w:val="0"/>
            <w:vAlign w:val="top"/>
          </w:tcPr>
          <w:p>
            <w:pPr>
              <w:rPr>
                <w:rFonts w:ascii="宋体" w:hAnsi="宋体"/>
                <w:bCs/>
                <w:sz w:val="18"/>
                <w:szCs w:val="18"/>
              </w:rPr>
            </w:pPr>
          </w:p>
        </w:tc>
        <w:tc>
          <w:tcPr>
            <w:tcW w:w="947" w:type="dxa"/>
            <w:tcBorders>
              <w:left w:val="nil"/>
              <w:bottom w:val="nil"/>
              <w:right w:val="nil"/>
            </w:tcBorders>
            <w:noWrap w:val="0"/>
            <w:vAlign w:val="top"/>
          </w:tcPr>
          <w:p>
            <w:pPr>
              <w:rPr>
                <w:rFonts w:ascii="宋体" w:hAnsi="宋体"/>
                <w:bCs/>
                <w:sz w:val="18"/>
                <w:szCs w:val="18"/>
              </w:rPr>
            </w:pPr>
          </w:p>
        </w:tc>
        <w:tc>
          <w:tcPr>
            <w:tcW w:w="1008" w:type="dxa"/>
            <w:tcBorders>
              <w:left w:val="nil"/>
              <w:bottom w:val="nil"/>
              <w:right w:val="nil"/>
            </w:tcBorders>
            <w:noWrap w:val="0"/>
            <w:vAlign w:val="top"/>
          </w:tcPr>
          <w:p>
            <w:pPr>
              <w:rPr>
                <w:rFonts w:ascii="宋体" w:hAnsi="宋体"/>
                <w:bCs/>
                <w:sz w:val="18"/>
                <w:szCs w:val="18"/>
              </w:rPr>
            </w:pPr>
          </w:p>
        </w:tc>
        <w:tc>
          <w:tcPr>
            <w:tcW w:w="1501" w:type="dxa"/>
            <w:tcBorders>
              <w:left w:val="nil"/>
              <w:bottom w:val="nil"/>
              <w:right w:val="nil"/>
            </w:tcBorders>
            <w:noWrap w:val="0"/>
            <w:vAlign w:val="top"/>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noWrap w:val="0"/>
            <w:vAlign w:val="top"/>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noWrap w:val="0"/>
            <w:vAlign w:val="top"/>
          </w:tcPr>
          <w:p>
            <w:pPr>
              <w:rPr>
                <w:rFonts w:ascii="宋体" w:hAnsi="宋体"/>
                <w:bCs/>
                <w:sz w:val="18"/>
                <w:szCs w:val="18"/>
              </w:rPr>
            </w:pPr>
          </w:p>
        </w:tc>
        <w:tc>
          <w:tcPr>
            <w:tcW w:w="583"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655"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947" w:type="dxa"/>
            <w:tcBorders>
              <w:top w:val="nil"/>
              <w:left w:val="nil"/>
              <w:bottom w:val="nil"/>
              <w:right w:val="nil"/>
            </w:tcBorders>
            <w:noWrap w:val="0"/>
            <w:vAlign w:val="top"/>
          </w:tcPr>
          <w:p>
            <w:pPr>
              <w:rPr>
                <w:rFonts w:ascii="宋体" w:hAnsi="宋体"/>
                <w:bCs/>
                <w:sz w:val="18"/>
                <w:szCs w:val="18"/>
              </w:rPr>
            </w:pPr>
          </w:p>
        </w:tc>
        <w:tc>
          <w:tcPr>
            <w:tcW w:w="1008" w:type="dxa"/>
            <w:tcBorders>
              <w:top w:val="nil"/>
              <w:left w:val="nil"/>
              <w:bottom w:val="nil"/>
              <w:right w:val="nil"/>
            </w:tcBorders>
            <w:noWrap w:val="0"/>
            <w:vAlign w:val="top"/>
          </w:tcPr>
          <w:p>
            <w:pPr>
              <w:rPr>
                <w:rFonts w:ascii="宋体" w:hAnsi="宋体"/>
                <w:bCs/>
                <w:sz w:val="18"/>
                <w:szCs w:val="18"/>
              </w:rPr>
            </w:pPr>
          </w:p>
        </w:tc>
        <w:tc>
          <w:tcPr>
            <w:tcW w:w="1501"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noWrap w:val="0"/>
            <w:vAlign w:val="top"/>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noWrap w:val="0"/>
            <w:vAlign w:val="top"/>
          </w:tcPr>
          <w:p>
            <w:pPr>
              <w:rPr>
                <w:rFonts w:ascii="宋体" w:hAnsi="宋体"/>
                <w:bCs/>
                <w:sz w:val="18"/>
                <w:szCs w:val="18"/>
              </w:rPr>
            </w:pPr>
          </w:p>
        </w:tc>
        <w:tc>
          <w:tcPr>
            <w:tcW w:w="583"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655"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947" w:type="dxa"/>
            <w:tcBorders>
              <w:top w:val="nil"/>
              <w:left w:val="nil"/>
              <w:bottom w:val="nil"/>
              <w:right w:val="nil"/>
            </w:tcBorders>
            <w:noWrap w:val="0"/>
            <w:vAlign w:val="top"/>
          </w:tcPr>
          <w:p>
            <w:pPr>
              <w:rPr>
                <w:rFonts w:ascii="宋体" w:hAnsi="宋体"/>
                <w:bCs/>
                <w:sz w:val="18"/>
                <w:szCs w:val="18"/>
              </w:rPr>
            </w:pPr>
          </w:p>
        </w:tc>
        <w:tc>
          <w:tcPr>
            <w:tcW w:w="1008" w:type="dxa"/>
            <w:tcBorders>
              <w:top w:val="nil"/>
              <w:left w:val="nil"/>
              <w:bottom w:val="nil"/>
              <w:right w:val="nil"/>
            </w:tcBorders>
            <w:noWrap w:val="0"/>
            <w:vAlign w:val="top"/>
          </w:tcPr>
          <w:p>
            <w:pPr>
              <w:rPr>
                <w:rFonts w:ascii="宋体" w:hAnsi="宋体"/>
                <w:bCs/>
                <w:sz w:val="18"/>
                <w:szCs w:val="18"/>
              </w:rPr>
            </w:pPr>
          </w:p>
        </w:tc>
        <w:tc>
          <w:tcPr>
            <w:tcW w:w="1501"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noWrap w:val="0"/>
            <w:vAlign w:val="top"/>
          </w:tcPr>
          <w:p>
            <w:pPr>
              <w:rPr>
                <w:rFonts w:ascii="宋体" w:hAnsi="宋体"/>
                <w:bCs/>
                <w:sz w:val="18"/>
                <w:szCs w:val="18"/>
              </w:rPr>
            </w:pPr>
            <w:r>
              <w:rPr>
                <w:rFonts w:hint="eastAsia" w:ascii="宋体" w:hAnsi="宋体"/>
                <w:bCs/>
                <w:sz w:val="18"/>
                <w:szCs w:val="18"/>
              </w:rPr>
              <w:t xml:space="preserve">    </w:t>
            </w:r>
          </w:p>
        </w:tc>
        <w:tc>
          <w:tcPr>
            <w:tcW w:w="984" w:type="dxa"/>
            <w:tcBorders>
              <w:top w:val="nil"/>
              <w:bottom w:val="nil"/>
              <w:right w:val="nil"/>
            </w:tcBorders>
            <w:noWrap w:val="0"/>
            <w:vAlign w:val="top"/>
          </w:tcPr>
          <w:p>
            <w:pPr>
              <w:rPr>
                <w:rFonts w:ascii="宋体" w:hAnsi="宋体"/>
                <w:bCs/>
                <w:sz w:val="18"/>
                <w:szCs w:val="18"/>
              </w:rPr>
            </w:pPr>
          </w:p>
        </w:tc>
        <w:tc>
          <w:tcPr>
            <w:tcW w:w="583"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655"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947" w:type="dxa"/>
            <w:tcBorders>
              <w:top w:val="nil"/>
              <w:left w:val="nil"/>
              <w:bottom w:val="nil"/>
              <w:right w:val="nil"/>
            </w:tcBorders>
            <w:noWrap w:val="0"/>
            <w:vAlign w:val="top"/>
          </w:tcPr>
          <w:p>
            <w:pPr>
              <w:rPr>
                <w:rFonts w:ascii="宋体" w:hAnsi="宋体"/>
                <w:bCs/>
                <w:sz w:val="18"/>
                <w:szCs w:val="18"/>
              </w:rPr>
            </w:pPr>
          </w:p>
        </w:tc>
        <w:tc>
          <w:tcPr>
            <w:tcW w:w="1008" w:type="dxa"/>
            <w:tcBorders>
              <w:top w:val="nil"/>
              <w:left w:val="nil"/>
              <w:bottom w:val="nil"/>
              <w:right w:val="nil"/>
            </w:tcBorders>
            <w:noWrap w:val="0"/>
            <w:vAlign w:val="top"/>
          </w:tcPr>
          <w:p>
            <w:pPr>
              <w:rPr>
                <w:rFonts w:ascii="宋体" w:hAnsi="宋体"/>
                <w:bCs/>
                <w:sz w:val="18"/>
                <w:szCs w:val="18"/>
              </w:rPr>
            </w:pPr>
          </w:p>
        </w:tc>
        <w:tc>
          <w:tcPr>
            <w:tcW w:w="1501"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tcBorders>
            <w:noWrap w:val="0"/>
            <w:vAlign w:val="top"/>
          </w:tcPr>
          <w:p>
            <w:pPr>
              <w:rPr>
                <w:rFonts w:ascii="宋体" w:hAnsi="宋体"/>
                <w:bCs/>
                <w:sz w:val="18"/>
                <w:szCs w:val="18"/>
              </w:rPr>
            </w:pPr>
            <w:r>
              <w:rPr>
                <w:rFonts w:hint="eastAsia" w:ascii="宋体" w:hAnsi="宋体"/>
                <w:bCs/>
                <w:sz w:val="18"/>
                <w:szCs w:val="18"/>
              </w:rPr>
              <w:t xml:space="preserve">   </w:t>
            </w:r>
          </w:p>
        </w:tc>
        <w:tc>
          <w:tcPr>
            <w:tcW w:w="984" w:type="dxa"/>
            <w:tcBorders>
              <w:top w:val="nil"/>
              <w:right w:val="nil"/>
            </w:tcBorders>
            <w:noWrap w:val="0"/>
            <w:vAlign w:val="top"/>
          </w:tcPr>
          <w:p>
            <w:pPr>
              <w:rPr>
                <w:rFonts w:ascii="宋体" w:hAnsi="宋体"/>
                <w:bCs/>
                <w:sz w:val="18"/>
                <w:szCs w:val="18"/>
              </w:rPr>
            </w:pPr>
          </w:p>
        </w:tc>
        <w:tc>
          <w:tcPr>
            <w:tcW w:w="583" w:type="dxa"/>
            <w:tcBorders>
              <w:top w:val="nil"/>
              <w:left w:val="nil"/>
              <w:right w:val="nil"/>
            </w:tcBorders>
            <w:noWrap w:val="0"/>
            <w:vAlign w:val="top"/>
          </w:tcPr>
          <w:p>
            <w:pPr>
              <w:rPr>
                <w:rFonts w:ascii="宋体" w:hAnsi="宋体"/>
                <w:bCs/>
                <w:sz w:val="18"/>
                <w:szCs w:val="18"/>
              </w:rPr>
            </w:pPr>
          </w:p>
        </w:tc>
        <w:tc>
          <w:tcPr>
            <w:tcW w:w="767" w:type="dxa"/>
            <w:tcBorders>
              <w:top w:val="nil"/>
              <w:left w:val="nil"/>
              <w:right w:val="nil"/>
            </w:tcBorders>
            <w:noWrap w:val="0"/>
            <w:vAlign w:val="top"/>
          </w:tcPr>
          <w:p>
            <w:pPr>
              <w:rPr>
                <w:rFonts w:ascii="宋体" w:hAnsi="宋体"/>
                <w:bCs/>
                <w:sz w:val="18"/>
                <w:szCs w:val="18"/>
              </w:rPr>
            </w:pPr>
          </w:p>
        </w:tc>
        <w:tc>
          <w:tcPr>
            <w:tcW w:w="655" w:type="dxa"/>
            <w:tcBorders>
              <w:top w:val="nil"/>
              <w:left w:val="nil"/>
              <w:right w:val="nil"/>
            </w:tcBorders>
            <w:noWrap w:val="0"/>
            <w:vAlign w:val="top"/>
          </w:tcPr>
          <w:p>
            <w:pPr>
              <w:rPr>
                <w:rFonts w:ascii="宋体" w:hAnsi="宋体"/>
                <w:bCs/>
                <w:sz w:val="18"/>
                <w:szCs w:val="18"/>
              </w:rPr>
            </w:pPr>
          </w:p>
        </w:tc>
        <w:tc>
          <w:tcPr>
            <w:tcW w:w="767" w:type="dxa"/>
            <w:tcBorders>
              <w:top w:val="nil"/>
              <w:left w:val="nil"/>
              <w:right w:val="nil"/>
            </w:tcBorders>
            <w:noWrap w:val="0"/>
            <w:vAlign w:val="top"/>
          </w:tcPr>
          <w:p>
            <w:pPr>
              <w:rPr>
                <w:rFonts w:ascii="宋体" w:hAnsi="宋体"/>
                <w:bCs/>
                <w:sz w:val="18"/>
                <w:szCs w:val="18"/>
              </w:rPr>
            </w:pPr>
          </w:p>
        </w:tc>
        <w:tc>
          <w:tcPr>
            <w:tcW w:w="947" w:type="dxa"/>
            <w:tcBorders>
              <w:top w:val="nil"/>
              <w:left w:val="nil"/>
              <w:right w:val="nil"/>
            </w:tcBorders>
            <w:noWrap w:val="0"/>
            <w:vAlign w:val="top"/>
          </w:tcPr>
          <w:p>
            <w:pPr>
              <w:rPr>
                <w:rFonts w:ascii="宋体" w:hAnsi="宋体"/>
                <w:bCs/>
                <w:sz w:val="18"/>
                <w:szCs w:val="18"/>
              </w:rPr>
            </w:pPr>
          </w:p>
        </w:tc>
        <w:tc>
          <w:tcPr>
            <w:tcW w:w="1008" w:type="dxa"/>
            <w:tcBorders>
              <w:top w:val="nil"/>
              <w:left w:val="nil"/>
              <w:right w:val="nil"/>
            </w:tcBorders>
            <w:noWrap w:val="0"/>
            <w:vAlign w:val="top"/>
          </w:tcPr>
          <w:p>
            <w:pPr>
              <w:rPr>
                <w:rFonts w:ascii="宋体" w:hAnsi="宋体"/>
                <w:bCs/>
                <w:sz w:val="18"/>
                <w:szCs w:val="18"/>
              </w:rPr>
            </w:pPr>
          </w:p>
        </w:tc>
        <w:tc>
          <w:tcPr>
            <w:tcW w:w="1501" w:type="dxa"/>
            <w:tcBorders>
              <w:top w:val="nil"/>
              <w:left w:val="nil"/>
              <w:right w:val="nil"/>
            </w:tcBorders>
            <w:noWrap w:val="0"/>
            <w:vAlign w:val="top"/>
          </w:tcPr>
          <w:p>
            <w:pPr>
              <w:rPr>
                <w:rFonts w:ascii="宋体" w:hAnsi="宋体"/>
                <w:bCs/>
                <w:sz w:val="18"/>
                <w:szCs w:val="18"/>
              </w:rPr>
            </w:pPr>
          </w:p>
        </w:tc>
      </w:tr>
    </w:tbl>
    <w:p>
      <w:pPr>
        <w:ind w:left="218" w:leftChars="104"/>
        <w:rPr>
          <w:rFonts w:ascii="宋体" w:hAnsi="宋体"/>
          <w:bCs/>
          <w:sz w:val="18"/>
          <w:szCs w:val="18"/>
        </w:rPr>
      </w:pPr>
      <w:r>
        <w:rPr>
          <w:rFonts w:hint="eastAsia" w:ascii="宋体" w:hAnsi="宋体"/>
          <w:bCs/>
          <w:sz w:val="18"/>
          <w:szCs w:val="18"/>
        </w:rPr>
        <w:t>统计负责人：             制表人：            联系电话：              报出日期：20   年  月   日</w:t>
      </w:r>
    </w:p>
    <w:p>
      <w:pPr>
        <w:ind w:left="218" w:leftChars="104"/>
        <w:rPr>
          <w:rFonts w:ascii="宋体" w:hAnsi="宋体"/>
          <w:bCs/>
          <w:sz w:val="18"/>
          <w:szCs w:val="18"/>
        </w:rPr>
      </w:pPr>
    </w:p>
    <w:p>
      <w:pPr>
        <w:ind w:left="218" w:leftChars="104"/>
        <w:rPr>
          <w:rFonts w:ascii="宋体" w:hAnsi="宋体"/>
          <w:bCs/>
          <w:sz w:val="18"/>
          <w:szCs w:val="18"/>
        </w:rPr>
      </w:pPr>
      <w:r>
        <w:rPr>
          <w:rFonts w:hint="eastAsia" w:ascii="宋体" w:hAnsi="宋体"/>
          <w:bCs/>
          <w:sz w:val="18"/>
          <w:szCs w:val="18"/>
        </w:rPr>
        <w:t>说明：1、本表综合反映报告月份企业开展对外承包工程业务的国家（地区）分布基本情况。</w:t>
      </w:r>
    </w:p>
    <w:p>
      <w:pPr>
        <w:ind w:left="218" w:leftChars="104" w:firstLine="540" w:firstLineChars="300"/>
        <w:rPr>
          <w:rFonts w:ascii="宋体" w:hAnsi="宋体"/>
          <w:bCs/>
          <w:sz w:val="18"/>
          <w:szCs w:val="18"/>
        </w:rPr>
      </w:pPr>
      <w:r>
        <w:rPr>
          <w:rFonts w:hint="eastAsia" w:ascii="宋体" w:hAnsi="宋体"/>
          <w:bCs/>
          <w:sz w:val="18"/>
          <w:szCs w:val="18"/>
        </w:rPr>
        <w:t>2、本表由企业于月后10日内报送省级商务主管部门或商务部。</w:t>
      </w:r>
    </w:p>
    <w:p>
      <w:pPr>
        <w:ind w:left="218" w:leftChars="104" w:firstLine="540" w:firstLineChars="300"/>
        <w:rPr>
          <w:rFonts w:ascii="宋体" w:hAnsi="宋体"/>
          <w:bCs/>
          <w:sz w:val="18"/>
          <w:szCs w:val="18"/>
        </w:rPr>
      </w:pPr>
      <w:r>
        <w:rPr>
          <w:rFonts w:hint="eastAsia" w:ascii="宋体" w:hAnsi="宋体"/>
          <w:bCs/>
          <w:sz w:val="18"/>
          <w:szCs w:val="18"/>
        </w:rPr>
        <w:t>3、公有控股经济和非公有控股经济划分标准见附录（四）。</w:t>
      </w:r>
    </w:p>
    <w:p>
      <w:pPr>
        <w:ind w:firstLine="540" w:firstLineChars="300"/>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对外承包工程项目明细</w:t>
      </w:r>
    </w:p>
    <w:p>
      <w:pPr>
        <w:ind w:right="720" w:firstLine="5850" w:firstLineChars="3250"/>
        <w:rPr>
          <w:rFonts w:ascii="宋体" w:hAnsi="宋体"/>
          <w:bCs/>
          <w:sz w:val="18"/>
          <w:szCs w:val="18"/>
        </w:rPr>
      </w:pPr>
    </w:p>
    <w:tbl>
      <w:tblPr>
        <w:tblStyle w:val="6"/>
        <w:tblW w:w="9522" w:type="dxa"/>
        <w:tblInd w:w="93" w:type="dxa"/>
        <w:tblLayout w:type="fixed"/>
        <w:tblCellMar>
          <w:top w:w="0" w:type="dxa"/>
          <w:left w:w="108" w:type="dxa"/>
          <w:bottom w:w="0" w:type="dxa"/>
          <w:right w:w="108" w:type="dxa"/>
        </w:tblCellMar>
      </w:tblPr>
      <w:tblGrid>
        <w:gridCol w:w="5840"/>
        <w:gridCol w:w="3682"/>
      </w:tblGrid>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号：CB2</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9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72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noWrap w:val="0"/>
            <w:vAlign w:val="top"/>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noWrap w:val="0"/>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noWrap w:val="0"/>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gridSpan w:val="2"/>
            <w:noWrap w:val="0"/>
            <w:vAlign w:val="center"/>
          </w:tcPr>
          <w:p>
            <w:pPr>
              <w:jc w:val="center"/>
              <w:rPr>
                <w:rFonts w:ascii="宋体" w:hAnsi="宋体"/>
                <w:bCs/>
                <w:sz w:val="18"/>
                <w:szCs w:val="18"/>
              </w:rPr>
            </w:pPr>
            <w:r>
              <w:rPr>
                <w:rFonts w:hint="eastAsia" w:ascii="宋体" w:hAnsi="宋体"/>
                <w:bCs/>
                <w:sz w:val="18"/>
                <w:szCs w:val="18"/>
              </w:rPr>
              <w:t>项目类别</w:t>
            </w:r>
          </w:p>
        </w:tc>
        <w:tc>
          <w:tcPr>
            <w:tcW w:w="900" w:type="dxa"/>
            <w:vMerge w:val="restart"/>
            <w:noWrap w:val="0"/>
            <w:vAlign w:val="center"/>
          </w:tcPr>
          <w:p>
            <w:pPr>
              <w:jc w:val="center"/>
              <w:rPr>
                <w:rFonts w:ascii="宋体" w:hAnsi="宋体"/>
                <w:bCs/>
                <w:sz w:val="18"/>
                <w:szCs w:val="18"/>
              </w:rPr>
            </w:pPr>
            <w:r>
              <w:rPr>
                <w:rFonts w:hint="eastAsia" w:ascii="宋体" w:hAnsi="宋体"/>
                <w:bCs/>
                <w:sz w:val="18"/>
                <w:szCs w:val="18"/>
              </w:rPr>
              <w:t>签约日期</w:t>
            </w:r>
          </w:p>
        </w:tc>
        <w:tc>
          <w:tcPr>
            <w:tcW w:w="900" w:type="dxa"/>
            <w:vMerge w:val="restart"/>
            <w:noWrap w:val="0"/>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vMerge w:val="restart"/>
            <w:noWrap w:val="0"/>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vMerge w:val="restart"/>
            <w:tcBorders>
              <w:right w:val="nil"/>
            </w:tcBorders>
            <w:noWrap w:val="0"/>
            <w:vAlign w:val="center"/>
          </w:tcPr>
          <w:p>
            <w:pPr>
              <w:jc w:val="center"/>
              <w:rPr>
                <w:rFonts w:ascii="宋体" w:hAnsi="宋体"/>
                <w:bCs/>
                <w:sz w:val="18"/>
                <w:szCs w:val="18"/>
              </w:rPr>
            </w:pPr>
            <w:r>
              <w:rPr>
                <w:rFonts w:hint="eastAsia" w:ascii="宋体" w:hAnsi="宋体"/>
                <w:bCs/>
                <w:sz w:val="18"/>
                <w:szCs w:val="18"/>
              </w:rPr>
              <w:t>业主</w:t>
            </w:r>
          </w:p>
        </w:tc>
        <w:tc>
          <w:tcPr>
            <w:tcW w:w="900" w:type="dxa"/>
            <w:vMerge w:val="restart"/>
            <w:tcBorders>
              <w:right w:val="nil"/>
            </w:tcBorders>
            <w:noWrap w:val="0"/>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vMerge w:val="restart"/>
            <w:tcBorders>
              <w:right w:val="nil"/>
            </w:tcBorders>
            <w:noWrap w:val="0"/>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vMerge w:val="continue"/>
            <w:tcBorders>
              <w:left w:val="nil"/>
              <w:tl2br w:val="single" w:color="auto" w:sz="4" w:space="0"/>
            </w:tcBorders>
            <w:noWrap w:val="0"/>
            <w:vAlign w:val="top"/>
          </w:tcPr>
          <w:p>
            <w:pPr>
              <w:jc w:val="center"/>
              <w:rPr>
                <w:rFonts w:ascii="宋体" w:hAnsi="宋体"/>
                <w:bCs/>
                <w:sz w:val="18"/>
                <w:szCs w:val="18"/>
              </w:rPr>
            </w:pPr>
          </w:p>
        </w:tc>
        <w:tc>
          <w:tcPr>
            <w:tcW w:w="900" w:type="dxa"/>
            <w:vMerge w:val="continue"/>
            <w:noWrap w:val="0"/>
            <w:vAlign w:val="top"/>
          </w:tcPr>
          <w:p>
            <w:pPr>
              <w:jc w:val="center"/>
              <w:rPr>
                <w:rFonts w:ascii="宋体" w:hAnsi="宋体"/>
                <w:bCs/>
                <w:sz w:val="18"/>
                <w:szCs w:val="18"/>
              </w:rPr>
            </w:pPr>
          </w:p>
        </w:tc>
        <w:tc>
          <w:tcPr>
            <w:tcW w:w="720" w:type="dxa"/>
            <w:vMerge w:val="continue"/>
            <w:noWrap w:val="0"/>
            <w:vAlign w:val="top"/>
          </w:tcPr>
          <w:p>
            <w:pPr>
              <w:jc w:val="center"/>
              <w:rPr>
                <w:rFonts w:ascii="宋体" w:hAnsi="宋体"/>
                <w:bCs/>
                <w:sz w:val="18"/>
                <w:szCs w:val="18"/>
              </w:rPr>
            </w:pPr>
          </w:p>
        </w:tc>
        <w:tc>
          <w:tcPr>
            <w:tcW w:w="720" w:type="dxa"/>
            <w:noWrap w:val="0"/>
            <w:vAlign w:val="center"/>
          </w:tcPr>
          <w:p>
            <w:pPr>
              <w:jc w:val="center"/>
              <w:rPr>
                <w:rFonts w:ascii="宋体" w:hAnsi="宋体"/>
                <w:bCs/>
                <w:sz w:val="18"/>
                <w:szCs w:val="18"/>
              </w:rPr>
            </w:pPr>
            <w:r>
              <w:rPr>
                <w:rFonts w:hint="eastAsia" w:ascii="宋体" w:hAnsi="宋体"/>
                <w:bCs/>
                <w:sz w:val="18"/>
                <w:szCs w:val="18"/>
              </w:rPr>
              <w:t>大类</w:t>
            </w:r>
          </w:p>
        </w:tc>
        <w:tc>
          <w:tcPr>
            <w:tcW w:w="720" w:type="dxa"/>
            <w:noWrap w:val="0"/>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noWrap w:val="0"/>
            <w:vAlign w:val="top"/>
          </w:tcPr>
          <w:p>
            <w:pPr>
              <w:jc w:val="center"/>
              <w:rPr>
                <w:rFonts w:ascii="宋体" w:hAnsi="宋体"/>
                <w:bCs/>
                <w:sz w:val="18"/>
                <w:szCs w:val="18"/>
              </w:rPr>
            </w:pPr>
          </w:p>
        </w:tc>
        <w:tc>
          <w:tcPr>
            <w:tcW w:w="900" w:type="dxa"/>
            <w:vMerge w:val="continue"/>
            <w:noWrap w:val="0"/>
            <w:vAlign w:val="top"/>
          </w:tcPr>
          <w:p>
            <w:pPr>
              <w:jc w:val="center"/>
              <w:rPr>
                <w:rFonts w:ascii="宋体" w:hAnsi="宋体"/>
                <w:bCs/>
                <w:sz w:val="18"/>
                <w:szCs w:val="18"/>
              </w:rPr>
            </w:pPr>
          </w:p>
        </w:tc>
        <w:tc>
          <w:tcPr>
            <w:tcW w:w="720" w:type="dxa"/>
            <w:vMerge w:val="continue"/>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noWrap w:val="0"/>
            <w:vAlign w:val="top"/>
          </w:tcPr>
          <w:p>
            <w:pPr>
              <w:jc w:val="center"/>
              <w:rPr>
                <w:rFonts w:ascii="宋体" w:hAnsi="宋体"/>
                <w:bCs/>
                <w:sz w:val="18"/>
                <w:szCs w:val="18"/>
              </w:rPr>
            </w:pPr>
            <w:r>
              <w:rPr>
                <w:color w:val="333333"/>
              </w:rPr>
              <w:t>癸</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6"/>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2"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noWrap w:val="0"/>
            <w:vAlign w:val="center"/>
          </w:tcPr>
          <w:p>
            <w:pPr>
              <w:jc w:val="center"/>
              <w:rPr>
                <w:rFonts w:ascii="宋体" w:hAnsi="宋体"/>
                <w:bCs/>
                <w:sz w:val="18"/>
                <w:szCs w:val="18"/>
              </w:rPr>
            </w:pPr>
            <w:r>
              <w:rPr>
                <w:rFonts w:hint="eastAsia" w:ascii="宋体" w:hAnsi="宋体"/>
                <w:bCs/>
                <w:sz w:val="18"/>
                <w:szCs w:val="18"/>
              </w:rPr>
              <w:t>带动出口额</w:t>
            </w:r>
          </w:p>
        </w:tc>
        <w:tc>
          <w:tcPr>
            <w:tcW w:w="992" w:type="dxa"/>
            <w:noWrap w:val="0"/>
            <w:vAlign w:val="center"/>
          </w:tcPr>
          <w:p>
            <w:pPr>
              <w:jc w:val="center"/>
              <w:rPr>
                <w:rFonts w:ascii="宋体" w:hAnsi="宋体"/>
                <w:bCs/>
                <w:sz w:val="18"/>
                <w:szCs w:val="18"/>
              </w:rPr>
            </w:pPr>
            <w:r>
              <w:rPr>
                <w:rFonts w:hint="eastAsia" w:ascii="宋体" w:hAnsi="宋体"/>
                <w:bCs/>
                <w:sz w:val="18"/>
                <w:szCs w:val="18"/>
              </w:rPr>
              <w:t>外派人数</w:t>
            </w:r>
          </w:p>
        </w:tc>
        <w:tc>
          <w:tcPr>
            <w:tcW w:w="1418" w:type="dxa"/>
            <w:noWrap w:val="0"/>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月末雇</w:t>
            </w:r>
            <w:r>
              <w:rPr>
                <w:rFonts w:hint="eastAsia" w:ascii="宋体" w:hAnsi="宋体"/>
                <w:bCs/>
                <w:sz w:val="18"/>
                <w:szCs w:val="18"/>
                <w:lang w:eastAsia="zh-CN"/>
              </w:rPr>
              <w:t>用</w:t>
            </w:r>
            <w:r>
              <w:rPr>
                <w:rFonts w:hint="eastAsia" w:ascii="宋体" w:hAnsi="宋体"/>
                <w:bCs/>
                <w:sz w:val="18"/>
                <w:szCs w:val="18"/>
              </w:rPr>
              <w:t>项目所在国人员数量</w:t>
            </w:r>
          </w:p>
        </w:tc>
        <w:tc>
          <w:tcPr>
            <w:tcW w:w="2063"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nil"/>
              <w:right w:val="nil"/>
            </w:tcBorders>
            <w:noWrap w:val="0"/>
            <w:vAlign w:val="top"/>
          </w:tcPr>
          <w:p>
            <w:pPr>
              <w:rPr>
                <w:rFonts w:ascii="宋体" w:hAnsi="宋体"/>
                <w:bCs/>
                <w:sz w:val="18"/>
                <w:szCs w:val="18"/>
              </w:rPr>
            </w:pPr>
          </w:p>
        </w:tc>
        <w:tc>
          <w:tcPr>
            <w:tcW w:w="1134" w:type="dxa"/>
            <w:tcBorders>
              <w:left w:val="nil"/>
              <w:bottom w:val="nil"/>
              <w:right w:val="nil"/>
            </w:tcBorders>
            <w:noWrap w:val="0"/>
            <w:vAlign w:val="top"/>
          </w:tcPr>
          <w:p>
            <w:pPr>
              <w:rPr>
                <w:rFonts w:ascii="宋体" w:hAnsi="宋体"/>
                <w:bCs/>
                <w:sz w:val="18"/>
                <w:szCs w:val="18"/>
              </w:rPr>
            </w:pPr>
          </w:p>
        </w:tc>
        <w:tc>
          <w:tcPr>
            <w:tcW w:w="1276" w:type="dxa"/>
            <w:tcBorders>
              <w:left w:val="nil"/>
              <w:bottom w:val="nil"/>
              <w:right w:val="nil"/>
            </w:tcBorders>
            <w:noWrap w:val="0"/>
            <w:vAlign w:val="top"/>
          </w:tcPr>
          <w:p>
            <w:pPr>
              <w:rPr>
                <w:rFonts w:ascii="宋体" w:hAnsi="宋体"/>
                <w:bCs/>
                <w:sz w:val="18"/>
                <w:szCs w:val="18"/>
              </w:rPr>
            </w:pPr>
          </w:p>
        </w:tc>
        <w:tc>
          <w:tcPr>
            <w:tcW w:w="992" w:type="dxa"/>
            <w:tcBorders>
              <w:left w:val="nil"/>
              <w:bottom w:val="nil"/>
              <w:right w:val="nil"/>
            </w:tcBorders>
            <w:noWrap w:val="0"/>
            <w:vAlign w:val="top"/>
          </w:tcPr>
          <w:p>
            <w:pPr>
              <w:rPr>
                <w:rFonts w:ascii="宋体" w:hAnsi="宋体"/>
                <w:bCs/>
                <w:sz w:val="18"/>
                <w:szCs w:val="18"/>
              </w:rPr>
            </w:pPr>
          </w:p>
        </w:tc>
        <w:tc>
          <w:tcPr>
            <w:tcW w:w="1418" w:type="dxa"/>
            <w:tcBorders>
              <w:left w:val="nil"/>
              <w:bottom w:val="nil"/>
              <w:right w:val="nil"/>
            </w:tcBorders>
            <w:noWrap w:val="0"/>
            <w:vAlign w:val="top"/>
          </w:tcPr>
          <w:p>
            <w:pPr>
              <w:rPr>
                <w:rFonts w:ascii="宋体" w:hAnsi="宋体"/>
                <w:bCs/>
                <w:sz w:val="18"/>
                <w:szCs w:val="18"/>
              </w:rPr>
            </w:pPr>
          </w:p>
        </w:tc>
        <w:tc>
          <w:tcPr>
            <w:tcW w:w="1559" w:type="dxa"/>
            <w:tcBorders>
              <w:left w:val="nil"/>
              <w:bottom w:val="nil"/>
              <w:right w:val="nil"/>
            </w:tcBorders>
            <w:noWrap w:val="0"/>
            <w:vAlign w:val="top"/>
          </w:tcPr>
          <w:p>
            <w:pPr>
              <w:rPr>
                <w:rFonts w:ascii="宋体" w:hAnsi="宋体"/>
                <w:bCs/>
                <w:sz w:val="18"/>
                <w:szCs w:val="18"/>
              </w:rPr>
            </w:pPr>
          </w:p>
        </w:tc>
        <w:tc>
          <w:tcPr>
            <w:tcW w:w="2063"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1276"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418" w:type="dxa"/>
            <w:tcBorders>
              <w:top w:val="nil"/>
              <w:left w:val="nil"/>
              <w:bottom w:val="nil"/>
              <w:right w:val="nil"/>
            </w:tcBorders>
            <w:noWrap w:val="0"/>
            <w:vAlign w:val="top"/>
          </w:tcPr>
          <w:p>
            <w:pPr>
              <w:rPr>
                <w:rFonts w:ascii="宋体" w:hAnsi="宋体"/>
                <w:bCs/>
                <w:sz w:val="18"/>
                <w:szCs w:val="18"/>
              </w:rPr>
            </w:pPr>
          </w:p>
        </w:tc>
        <w:tc>
          <w:tcPr>
            <w:tcW w:w="1559" w:type="dxa"/>
            <w:tcBorders>
              <w:top w:val="nil"/>
              <w:left w:val="nil"/>
              <w:bottom w:val="nil"/>
              <w:right w:val="nil"/>
            </w:tcBorders>
            <w:noWrap w:val="0"/>
            <w:vAlign w:val="top"/>
          </w:tcPr>
          <w:p>
            <w:pPr>
              <w:rPr>
                <w:rFonts w:ascii="宋体" w:hAnsi="宋体"/>
                <w:bCs/>
                <w:sz w:val="18"/>
                <w:szCs w:val="18"/>
              </w:rPr>
            </w:pPr>
          </w:p>
        </w:tc>
        <w:tc>
          <w:tcPr>
            <w:tcW w:w="2063"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right w:val="nil"/>
            </w:tcBorders>
            <w:noWrap w:val="0"/>
            <w:vAlign w:val="top"/>
          </w:tcPr>
          <w:p>
            <w:pPr>
              <w:rPr>
                <w:rFonts w:ascii="宋体" w:hAnsi="宋体"/>
                <w:bCs/>
                <w:sz w:val="18"/>
                <w:szCs w:val="18"/>
              </w:rPr>
            </w:pPr>
          </w:p>
        </w:tc>
        <w:tc>
          <w:tcPr>
            <w:tcW w:w="1134" w:type="dxa"/>
            <w:tcBorders>
              <w:top w:val="nil"/>
              <w:left w:val="nil"/>
              <w:right w:val="nil"/>
            </w:tcBorders>
            <w:noWrap w:val="0"/>
            <w:vAlign w:val="top"/>
          </w:tcPr>
          <w:p>
            <w:pPr>
              <w:rPr>
                <w:rFonts w:ascii="宋体" w:hAnsi="宋体"/>
                <w:bCs/>
                <w:sz w:val="18"/>
                <w:szCs w:val="18"/>
              </w:rPr>
            </w:pPr>
          </w:p>
        </w:tc>
        <w:tc>
          <w:tcPr>
            <w:tcW w:w="1276" w:type="dxa"/>
            <w:tcBorders>
              <w:top w:val="nil"/>
              <w:left w:val="nil"/>
              <w:right w:val="nil"/>
            </w:tcBorders>
            <w:noWrap w:val="0"/>
            <w:vAlign w:val="top"/>
          </w:tcPr>
          <w:p>
            <w:pPr>
              <w:rPr>
                <w:rFonts w:ascii="宋体" w:hAnsi="宋体"/>
                <w:bCs/>
                <w:sz w:val="18"/>
                <w:szCs w:val="18"/>
              </w:rPr>
            </w:pPr>
          </w:p>
        </w:tc>
        <w:tc>
          <w:tcPr>
            <w:tcW w:w="992" w:type="dxa"/>
            <w:tcBorders>
              <w:top w:val="nil"/>
              <w:left w:val="nil"/>
              <w:right w:val="nil"/>
            </w:tcBorders>
            <w:noWrap w:val="0"/>
            <w:vAlign w:val="top"/>
          </w:tcPr>
          <w:p>
            <w:pPr>
              <w:rPr>
                <w:rFonts w:ascii="宋体" w:hAnsi="宋体"/>
                <w:bCs/>
                <w:sz w:val="18"/>
                <w:szCs w:val="18"/>
              </w:rPr>
            </w:pPr>
          </w:p>
        </w:tc>
        <w:tc>
          <w:tcPr>
            <w:tcW w:w="1418" w:type="dxa"/>
            <w:tcBorders>
              <w:top w:val="nil"/>
              <w:left w:val="nil"/>
              <w:right w:val="nil"/>
            </w:tcBorders>
            <w:noWrap w:val="0"/>
            <w:vAlign w:val="top"/>
          </w:tcPr>
          <w:p>
            <w:pPr>
              <w:rPr>
                <w:rFonts w:ascii="宋体" w:hAnsi="宋体"/>
                <w:bCs/>
                <w:sz w:val="18"/>
                <w:szCs w:val="18"/>
              </w:rPr>
            </w:pPr>
          </w:p>
        </w:tc>
        <w:tc>
          <w:tcPr>
            <w:tcW w:w="1559" w:type="dxa"/>
            <w:tcBorders>
              <w:top w:val="nil"/>
              <w:left w:val="nil"/>
              <w:right w:val="nil"/>
            </w:tcBorders>
            <w:noWrap w:val="0"/>
            <w:vAlign w:val="top"/>
          </w:tcPr>
          <w:p>
            <w:pPr>
              <w:rPr>
                <w:rFonts w:ascii="宋体" w:hAnsi="宋体"/>
                <w:bCs/>
                <w:sz w:val="18"/>
                <w:szCs w:val="18"/>
              </w:rPr>
            </w:pPr>
          </w:p>
        </w:tc>
        <w:tc>
          <w:tcPr>
            <w:tcW w:w="2063"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说明：1、本表综合反映报告月份企业对外承包工程业务项目的基本情况。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3、“项目类别”项目大小分类见附录（一）。</w:t>
      </w:r>
    </w:p>
    <w:p>
      <w:pPr>
        <w:ind w:firstLine="540" w:firstLineChars="300"/>
        <w:rPr>
          <w:rFonts w:ascii="宋体" w:hAnsi="宋体"/>
          <w:bCs/>
          <w:sz w:val="18"/>
          <w:szCs w:val="18"/>
        </w:rPr>
      </w:pPr>
      <w:r>
        <w:rPr>
          <w:rFonts w:hint="eastAsia" w:ascii="宋体" w:hAnsi="宋体"/>
          <w:bCs/>
          <w:sz w:val="18"/>
          <w:szCs w:val="18"/>
        </w:rPr>
        <w:t>4、项目的资金来源：指企业承揽工程项目的工程款的主要来源，包括：业主自筹、项目所在国政府资金、国际金融机构拨款、援外优惠贷款、优惠出口买方信贷、国内商业性质出口买方信贷、国内出口卖方信贷、其他等。</w:t>
      </w:r>
    </w:p>
    <w:p>
      <w:pPr>
        <w:ind w:firstLine="540" w:firstLineChars="300"/>
        <w:rPr>
          <w:rFonts w:ascii="宋体" w:hAnsi="宋体"/>
          <w:bCs/>
          <w:sz w:val="18"/>
          <w:szCs w:val="18"/>
        </w:rPr>
      </w:pPr>
      <w:r>
        <w:rPr>
          <w:rFonts w:hint="eastAsia" w:ascii="宋体" w:hAnsi="宋体"/>
          <w:bCs/>
          <w:sz w:val="18"/>
          <w:szCs w:val="18"/>
        </w:rPr>
        <w:t>5、项目承包方式：包括（1）传统承包方式，包括施工或总承包（含设计-建造、设计-采购-施工）；（2）融资模式，指承包商提供融资服务的承包、总承包（如设计-采购-施工+融资）；（3）投资模式，包括特许经营类、公私合营类；（4）其他，除上述三种模式以外的其他方式。</w:t>
      </w:r>
    </w:p>
    <w:p>
      <w:pPr>
        <w:rPr>
          <w:rFonts w:ascii="宋体" w:hAnsi="宋体"/>
          <w:bCs/>
          <w:sz w:val="18"/>
          <w:szCs w:val="18"/>
        </w:rPr>
      </w:pPr>
    </w:p>
    <w:p>
      <w:pPr>
        <w:widowControl/>
        <w:ind w:firstLine="540" w:firstLineChars="300"/>
        <w:rPr>
          <w:rFonts w:ascii="宋体" w:hAnsi="宋体"/>
          <w:bCs/>
          <w:sz w:val="18"/>
          <w:szCs w:val="18"/>
        </w:rPr>
      </w:pPr>
    </w:p>
    <w:p>
      <w:pPr>
        <w:widowControl/>
        <w:ind w:firstLine="900" w:firstLineChars="500"/>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对外设计咨询项目明细</w:t>
      </w:r>
    </w:p>
    <w:p>
      <w:pPr>
        <w:ind w:right="720" w:firstLine="5850" w:firstLineChars="3250"/>
        <w:rPr>
          <w:rFonts w:ascii="宋体" w:hAnsi="宋体"/>
          <w:bCs/>
          <w:sz w:val="18"/>
          <w:szCs w:val="18"/>
        </w:rPr>
      </w:pPr>
    </w:p>
    <w:tbl>
      <w:tblPr>
        <w:tblStyle w:val="6"/>
        <w:tblW w:w="9522" w:type="dxa"/>
        <w:tblInd w:w="93" w:type="dxa"/>
        <w:tblLayout w:type="fixed"/>
        <w:tblCellMar>
          <w:top w:w="0" w:type="dxa"/>
          <w:left w:w="108" w:type="dxa"/>
          <w:bottom w:w="0" w:type="dxa"/>
          <w:right w:w="108" w:type="dxa"/>
        </w:tblCellMar>
      </w:tblPr>
      <w:tblGrid>
        <w:gridCol w:w="5840"/>
        <w:gridCol w:w="3682"/>
      </w:tblGrid>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号：CB3</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853"/>
        <w:gridCol w:w="767"/>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noWrap w:val="0"/>
            <w:vAlign w:val="top"/>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noWrap w:val="0"/>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noWrap w:val="0"/>
            <w:vAlign w:val="center"/>
          </w:tcPr>
          <w:p>
            <w:pPr>
              <w:jc w:val="center"/>
              <w:rPr>
                <w:rFonts w:ascii="宋体" w:hAnsi="宋体"/>
                <w:bCs/>
                <w:sz w:val="18"/>
                <w:szCs w:val="18"/>
              </w:rPr>
            </w:pPr>
            <w:r>
              <w:rPr>
                <w:rFonts w:hint="eastAsia" w:ascii="宋体" w:hAnsi="宋体"/>
                <w:bCs/>
                <w:sz w:val="18"/>
                <w:szCs w:val="18"/>
              </w:rPr>
              <w:t>项目实施地点</w:t>
            </w:r>
          </w:p>
        </w:tc>
        <w:tc>
          <w:tcPr>
            <w:tcW w:w="720" w:type="dxa"/>
            <w:vMerge w:val="restart"/>
            <w:noWrap w:val="0"/>
            <w:vAlign w:val="center"/>
          </w:tcPr>
          <w:p>
            <w:pPr>
              <w:jc w:val="center"/>
              <w:rPr>
                <w:rFonts w:ascii="宋体" w:hAnsi="宋体" w:eastAsia="宋体"/>
                <w:bCs/>
                <w:sz w:val="18"/>
                <w:szCs w:val="18"/>
              </w:rPr>
            </w:pPr>
            <w:r>
              <w:rPr>
                <w:rFonts w:hint="eastAsia" w:ascii="宋体" w:hAnsi="宋体"/>
                <w:bCs/>
                <w:sz w:val="18"/>
                <w:szCs w:val="18"/>
              </w:rPr>
              <w:t>项目所属范围</w:t>
            </w:r>
          </w:p>
        </w:tc>
        <w:tc>
          <w:tcPr>
            <w:tcW w:w="1620" w:type="dxa"/>
            <w:gridSpan w:val="2"/>
            <w:noWrap w:val="0"/>
            <w:vAlign w:val="center"/>
          </w:tcPr>
          <w:p>
            <w:pPr>
              <w:jc w:val="center"/>
              <w:rPr>
                <w:rFonts w:ascii="宋体" w:hAnsi="宋体"/>
                <w:bCs/>
                <w:sz w:val="18"/>
                <w:szCs w:val="18"/>
              </w:rPr>
            </w:pPr>
            <w:r>
              <w:rPr>
                <w:rFonts w:hint="eastAsia" w:ascii="宋体" w:hAnsi="宋体"/>
                <w:bCs/>
                <w:sz w:val="18"/>
                <w:szCs w:val="18"/>
              </w:rPr>
              <w:t>涉及国民经济</w:t>
            </w:r>
          </w:p>
          <w:p>
            <w:pPr>
              <w:jc w:val="center"/>
              <w:rPr>
                <w:rFonts w:ascii="宋体" w:hAnsi="宋体" w:eastAsia="宋体"/>
                <w:bCs/>
                <w:sz w:val="18"/>
                <w:szCs w:val="18"/>
              </w:rPr>
            </w:pPr>
            <w:r>
              <w:rPr>
                <w:rFonts w:hint="eastAsia" w:ascii="宋体" w:hAnsi="宋体"/>
                <w:bCs/>
                <w:sz w:val="18"/>
                <w:szCs w:val="18"/>
              </w:rPr>
              <w:t>行业</w:t>
            </w:r>
          </w:p>
        </w:tc>
        <w:tc>
          <w:tcPr>
            <w:tcW w:w="900" w:type="dxa"/>
            <w:vMerge w:val="restart"/>
            <w:noWrap w:val="0"/>
            <w:vAlign w:val="center"/>
          </w:tcPr>
          <w:p>
            <w:pPr>
              <w:jc w:val="center"/>
              <w:rPr>
                <w:rFonts w:ascii="宋体" w:hAnsi="宋体" w:eastAsia="宋体" w:cs="Times New Roman"/>
                <w:bCs/>
                <w:sz w:val="18"/>
                <w:szCs w:val="18"/>
              </w:rPr>
            </w:pPr>
            <w:r>
              <w:rPr>
                <w:rFonts w:hint="eastAsia" w:ascii="宋体" w:hAnsi="宋体"/>
                <w:bCs/>
                <w:sz w:val="18"/>
                <w:szCs w:val="18"/>
              </w:rPr>
              <w:t>签约日期</w:t>
            </w:r>
          </w:p>
        </w:tc>
        <w:tc>
          <w:tcPr>
            <w:tcW w:w="720" w:type="dxa"/>
            <w:vMerge w:val="restart"/>
            <w:noWrap w:val="0"/>
            <w:vAlign w:val="center"/>
          </w:tcPr>
          <w:p>
            <w:pPr>
              <w:jc w:val="center"/>
              <w:rPr>
                <w:rFonts w:ascii="宋体" w:hAnsi="宋体" w:eastAsia="宋体" w:cs="Times New Roman"/>
                <w:bCs/>
                <w:sz w:val="18"/>
                <w:szCs w:val="18"/>
              </w:rPr>
            </w:pPr>
            <w:r>
              <w:rPr>
                <w:rFonts w:hint="eastAsia" w:ascii="宋体" w:hAnsi="宋体"/>
                <w:bCs/>
                <w:sz w:val="18"/>
                <w:szCs w:val="18"/>
              </w:rPr>
              <w:t>对外签约单位</w:t>
            </w:r>
          </w:p>
        </w:tc>
        <w:tc>
          <w:tcPr>
            <w:tcW w:w="900" w:type="dxa"/>
            <w:vMerge w:val="restart"/>
            <w:tcBorders>
              <w:right w:val="nil"/>
            </w:tcBorders>
            <w:noWrap w:val="0"/>
            <w:vAlign w:val="center"/>
          </w:tcPr>
          <w:p>
            <w:pPr>
              <w:jc w:val="center"/>
              <w:rPr>
                <w:rFonts w:ascii="宋体" w:hAnsi="宋体" w:eastAsia="宋体" w:cs="Times New Roman"/>
                <w:bCs/>
                <w:sz w:val="18"/>
                <w:szCs w:val="18"/>
              </w:rPr>
            </w:pPr>
            <w:r>
              <w:rPr>
                <w:rFonts w:hint="eastAsia" w:ascii="宋体" w:hAnsi="宋体"/>
                <w:bCs/>
                <w:sz w:val="18"/>
                <w:szCs w:val="18"/>
              </w:rPr>
              <w:t>项目实施单位</w:t>
            </w:r>
          </w:p>
        </w:tc>
        <w:tc>
          <w:tcPr>
            <w:tcW w:w="900" w:type="dxa"/>
            <w:vMerge w:val="restart"/>
            <w:tcBorders>
              <w:right w:val="nil"/>
            </w:tcBorders>
            <w:noWrap w:val="0"/>
            <w:vAlign w:val="center"/>
          </w:tcPr>
          <w:p>
            <w:pPr>
              <w:jc w:val="center"/>
              <w:rPr>
                <w:rFonts w:ascii="宋体" w:hAnsi="宋体" w:eastAsia="宋体" w:cs="Times New Roman"/>
                <w:bCs/>
                <w:sz w:val="18"/>
                <w:szCs w:val="18"/>
              </w:rPr>
            </w:pPr>
            <w:r>
              <w:rPr>
                <w:rFonts w:hint="eastAsia" w:ascii="宋体" w:hAnsi="宋体"/>
                <w:bCs/>
                <w:sz w:val="18"/>
                <w:szCs w:val="18"/>
              </w:rPr>
              <w:t>业主</w:t>
            </w:r>
          </w:p>
        </w:tc>
        <w:tc>
          <w:tcPr>
            <w:tcW w:w="900" w:type="dxa"/>
            <w:vMerge w:val="restart"/>
            <w:tcBorders>
              <w:right w:val="nil"/>
            </w:tcBorders>
            <w:noWrap w:val="0"/>
            <w:vAlign w:val="center"/>
          </w:tcPr>
          <w:p>
            <w:pPr>
              <w:jc w:val="center"/>
              <w:rPr>
                <w:rFonts w:ascii="宋体" w:hAnsi="宋体" w:eastAsia="宋体" w:cs="Times New Roman"/>
                <w:bCs/>
                <w:sz w:val="18"/>
                <w:szCs w:val="18"/>
              </w:rPr>
            </w:pPr>
            <w:r>
              <w:rPr>
                <w:rFonts w:hint="eastAsia" w:ascii="宋体" w:hAnsi="宋体"/>
                <w:bCs/>
                <w:sz w:val="18"/>
                <w:szCs w:val="18"/>
              </w:rPr>
              <w:t>项目资金来源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368" w:type="dxa"/>
            <w:vMerge w:val="continue"/>
            <w:tcBorders>
              <w:left w:val="nil"/>
              <w:tl2br w:val="single" w:color="auto" w:sz="4" w:space="0"/>
            </w:tcBorders>
            <w:noWrap w:val="0"/>
            <w:vAlign w:val="top"/>
          </w:tcPr>
          <w:p>
            <w:pPr>
              <w:jc w:val="center"/>
              <w:rPr>
                <w:rFonts w:ascii="宋体" w:hAnsi="宋体"/>
                <w:bCs/>
                <w:sz w:val="18"/>
                <w:szCs w:val="18"/>
              </w:rPr>
            </w:pPr>
          </w:p>
        </w:tc>
        <w:tc>
          <w:tcPr>
            <w:tcW w:w="900" w:type="dxa"/>
            <w:vMerge w:val="continue"/>
            <w:noWrap w:val="0"/>
            <w:vAlign w:val="top"/>
          </w:tcPr>
          <w:p>
            <w:pPr>
              <w:jc w:val="center"/>
              <w:rPr>
                <w:rFonts w:ascii="宋体" w:hAnsi="宋体"/>
                <w:bCs/>
                <w:sz w:val="18"/>
                <w:szCs w:val="18"/>
              </w:rPr>
            </w:pPr>
          </w:p>
        </w:tc>
        <w:tc>
          <w:tcPr>
            <w:tcW w:w="720" w:type="dxa"/>
            <w:vMerge w:val="continue"/>
            <w:noWrap w:val="0"/>
            <w:vAlign w:val="top"/>
          </w:tcPr>
          <w:p>
            <w:pPr>
              <w:jc w:val="center"/>
              <w:rPr>
                <w:rFonts w:ascii="宋体" w:hAnsi="宋体"/>
                <w:bCs/>
                <w:sz w:val="18"/>
                <w:szCs w:val="18"/>
              </w:rPr>
            </w:pPr>
          </w:p>
        </w:tc>
        <w:tc>
          <w:tcPr>
            <w:tcW w:w="720" w:type="dxa"/>
            <w:vMerge w:val="continue"/>
            <w:noWrap w:val="0"/>
            <w:vAlign w:val="center"/>
          </w:tcPr>
          <w:p>
            <w:pPr>
              <w:jc w:val="center"/>
              <w:rPr>
                <w:rFonts w:ascii="宋体" w:hAnsi="宋体"/>
                <w:bCs/>
                <w:sz w:val="18"/>
                <w:szCs w:val="18"/>
              </w:rPr>
            </w:pPr>
          </w:p>
        </w:tc>
        <w:tc>
          <w:tcPr>
            <w:tcW w:w="853" w:type="dxa"/>
            <w:noWrap w:val="0"/>
            <w:vAlign w:val="center"/>
          </w:tcPr>
          <w:p>
            <w:pPr>
              <w:jc w:val="center"/>
              <w:rPr>
                <w:rFonts w:ascii="宋体" w:hAnsi="宋体"/>
                <w:bCs/>
                <w:sz w:val="18"/>
                <w:szCs w:val="18"/>
              </w:rPr>
            </w:pPr>
            <w:r>
              <w:rPr>
                <w:rFonts w:hint="eastAsia" w:ascii="宋体" w:hAnsi="宋体"/>
                <w:bCs/>
                <w:sz w:val="18"/>
                <w:szCs w:val="18"/>
              </w:rPr>
              <w:t>大类</w:t>
            </w:r>
          </w:p>
        </w:tc>
        <w:tc>
          <w:tcPr>
            <w:tcW w:w="767" w:type="dxa"/>
            <w:noWrap w:val="0"/>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noWrap w:val="0"/>
            <w:vAlign w:val="top"/>
          </w:tcPr>
          <w:p>
            <w:pPr>
              <w:jc w:val="center"/>
              <w:rPr>
                <w:rFonts w:ascii="宋体" w:hAnsi="宋体"/>
                <w:bCs/>
                <w:sz w:val="18"/>
                <w:szCs w:val="18"/>
              </w:rPr>
            </w:pPr>
          </w:p>
        </w:tc>
        <w:tc>
          <w:tcPr>
            <w:tcW w:w="720" w:type="dxa"/>
            <w:vMerge w:val="continue"/>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853"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戊</w:t>
            </w:r>
          </w:p>
        </w:tc>
        <w:tc>
          <w:tcPr>
            <w:tcW w:w="76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noWrap w:val="0"/>
            <w:vAlign w:val="top"/>
          </w:tcPr>
          <w:p>
            <w:pPr>
              <w:jc w:val="center"/>
              <w:rPr>
                <w:rFonts w:ascii="宋体" w:hAnsi="宋体"/>
                <w:bCs/>
                <w:sz w:val="18"/>
                <w:szCs w:val="18"/>
              </w:rPr>
            </w:pPr>
            <w:r>
              <w:rPr>
                <w:color w:val="333333"/>
              </w:rPr>
              <w:t>癸</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853" w:type="dxa"/>
            <w:tcBorders>
              <w:left w:val="nil"/>
              <w:bottom w:val="nil"/>
              <w:right w:val="nil"/>
            </w:tcBorders>
            <w:noWrap w:val="0"/>
            <w:vAlign w:val="top"/>
          </w:tcPr>
          <w:p>
            <w:pPr>
              <w:rPr>
                <w:rFonts w:ascii="宋体" w:hAnsi="宋体"/>
                <w:bCs/>
                <w:sz w:val="18"/>
                <w:szCs w:val="18"/>
              </w:rPr>
            </w:pPr>
          </w:p>
        </w:tc>
        <w:tc>
          <w:tcPr>
            <w:tcW w:w="767"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853"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853" w:type="dxa"/>
            <w:tcBorders>
              <w:top w:val="nil"/>
              <w:left w:val="nil"/>
              <w:right w:val="nil"/>
            </w:tcBorders>
            <w:noWrap w:val="0"/>
            <w:vAlign w:val="top"/>
          </w:tcPr>
          <w:p>
            <w:pPr>
              <w:rPr>
                <w:rFonts w:ascii="宋体" w:hAnsi="宋体"/>
                <w:bCs/>
                <w:sz w:val="18"/>
                <w:szCs w:val="18"/>
              </w:rPr>
            </w:pPr>
          </w:p>
        </w:tc>
        <w:tc>
          <w:tcPr>
            <w:tcW w:w="767"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6"/>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1530"/>
        <w:gridCol w:w="2295"/>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491"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530"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2295" w:type="dxa"/>
            <w:tcBorders>
              <w:left w:val="nil"/>
            </w:tcBorders>
            <w:noWrap w:val="0"/>
            <w:vAlign w:val="center"/>
          </w:tcPr>
          <w:p>
            <w:pPr>
              <w:jc w:val="center"/>
              <w:rPr>
                <w:rFonts w:ascii="宋体" w:hAnsi="宋体"/>
                <w:bCs/>
                <w:sz w:val="18"/>
                <w:szCs w:val="18"/>
              </w:rPr>
            </w:pPr>
            <w:r>
              <w:rPr>
                <w:rFonts w:hint="eastAsia" w:ascii="宋体" w:hAnsi="宋体"/>
                <w:bCs/>
                <w:sz w:val="18"/>
                <w:szCs w:val="18"/>
              </w:rPr>
              <w:t>外派人数</w:t>
            </w:r>
          </w:p>
        </w:tc>
        <w:tc>
          <w:tcPr>
            <w:tcW w:w="3270"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1"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1530"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2295" w:type="dxa"/>
            <w:tcBorders>
              <w:left w:val="nil"/>
              <w:bottom w:val="single" w:color="auto" w:sz="4" w:space="0"/>
            </w:tcBorders>
            <w:noWrap w:val="0"/>
            <w:vAlign w:val="top"/>
          </w:tcPr>
          <w:p>
            <w:pPr>
              <w:jc w:val="center"/>
              <w:rPr>
                <w:rFonts w:ascii="宋体" w:hAnsi="宋体" w:eastAsia="宋体"/>
                <w:bCs/>
                <w:sz w:val="18"/>
                <w:szCs w:val="18"/>
              </w:rPr>
            </w:pPr>
            <w:r>
              <w:rPr>
                <w:rFonts w:hint="eastAsia" w:ascii="宋体" w:hAnsi="宋体"/>
                <w:bCs/>
                <w:sz w:val="18"/>
                <w:szCs w:val="18"/>
              </w:rPr>
              <w:t>3</w:t>
            </w:r>
          </w:p>
        </w:tc>
        <w:tc>
          <w:tcPr>
            <w:tcW w:w="3270" w:type="dxa"/>
            <w:tcBorders>
              <w:bottom w:val="single" w:color="auto" w:sz="4" w:space="0"/>
              <w:right w:val="nil"/>
            </w:tcBorders>
            <w:noWrap w:val="0"/>
            <w:vAlign w:val="top"/>
          </w:tcPr>
          <w:p>
            <w:pPr>
              <w:jc w:val="center"/>
              <w:rPr>
                <w:rFonts w:ascii="宋体" w:hAnsi="宋体" w:eastAsia="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1" w:type="dxa"/>
            <w:tcBorders>
              <w:left w:val="nil"/>
              <w:bottom w:val="nil"/>
              <w:right w:val="nil"/>
            </w:tcBorders>
            <w:noWrap w:val="0"/>
            <w:vAlign w:val="top"/>
          </w:tcPr>
          <w:p>
            <w:pPr>
              <w:rPr>
                <w:rFonts w:ascii="宋体" w:hAnsi="宋体"/>
                <w:bCs/>
                <w:sz w:val="18"/>
                <w:szCs w:val="18"/>
              </w:rPr>
            </w:pPr>
          </w:p>
        </w:tc>
        <w:tc>
          <w:tcPr>
            <w:tcW w:w="1530" w:type="dxa"/>
            <w:tcBorders>
              <w:left w:val="nil"/>
              <w:bottom w:val="nil"/>
              <w:right w:val="nil"/>
            </w:tcBorders>
            <w:noWrap w:val="0"/>
            <w:vAlign w:val="top"/>
          </w:tcPr>
          <w:p>
            <w:pPr>
              <w:rPr>
                <w:rFonts w:ascii="宋体" w:hAnsi="宋体"/>
                <w:bCs/>
                <w:sz w:val="18"/>
                <w:szCs w:val="18"/>
              </w:rPr>
            </w:pPr>
          </w:p>
        </w:tc>
        <w:tc>
          <w:tcPr>
            <w:tcW w:w="2295" w:type="dxa"/>
            <w:tcBorders>
              <w:left w:val="nil"/>
              <w:bottom w:val="nil"/>
              <w:right w:val="nil"/>
            </w:tcBorders>
            <w:noWrap w:val="0"/>
            <w:vAlign w:val="top"/>
          </w:tcPr>
          <w:p>
            <w:pPr>
              <w:rPr>
                <w:rFonts w:ascii="宋体" w:hAnsi="宋体"/>
                <w:bCs/>
                <w:sz w:val="18"/>
                <w:szCs w:val="18"/>
              </w:rPr>
            </w:pPr>
          </w:p>
        </w:tc>
        <w:tc>
          <w:tcPr>
            <w:tcW w:w="3270"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1" w:type="dxa"/>
            <w:tcBorders>
              <w:top w:val="nil"/>
              <w:left w:val="nil"/>
              <w:bottom w:val="nil"/>
              <w:right w:val="nil"/>
            </w:tcBorders>
            <w:noWrap w:val="0"/>
            <w:vAlign w:val="top"/>
          </w:tcPr>
          <w:p>
            <w:pPr>
              <w:rPr>
                <w:rFonts w:ascii="宋体" w:hAnsi="宋体"/>
                <w:bCs/>
                <w:sz w:val="18"/>
                <w:szCs w:val="18"/>
              </w:rPr>
            </w:pPr>
          </w:p>
        </w:tc>
        <w:tc>
          <w:tcPr>
            <w:tcW w:w="1530" w:type="dxa"/>
            <w:tcBorders>
              <w:top w:val="nil"/>
              <w:left w:val="nil"/>
              <w:bottom w:val="nil"/>
              <w:right w:val="nil"/>
            </w:tcBorders>
            <w:noWrap w:val="0"/>
            <w:vAlign w:val="top"/>
          </w:tcPr>
          <w:p>
            <w:pPr>
              <w:rPr>
                <w:rFonts w:ascii="宋体" w:hAnsi="宋体"/>
                <w:bCs/>
                <w:sz w:val="18"/>
                <w:szCs w:val="18"/>
              </w:rPr>
            </w:pPr>
          </w:p>
        </w:tc>
        <w:tc>
          <w:tcPr>
            <w:tcW w:w="2295" w:type="dxa"/>
            <w:tcBorders>
              <w:top w:val="nil"/>
              <w:left w:val="nil"/>
              <w:bottom w:val="nil"/>
              <w:right w:val="nil"/>
            </w:tcBorders>
            <w:noWrap w:val="0"/>
            <w:vAlign w:val="top"/>
          </w:tcPr>
          <w:p>
            <w:pPr>
              <w:rPr>
                <w:rFonts w:ascii="宋体" w:hAnsi="宋体"/>
                <w:bCs/>
                <w:sz w:val="18"/>
                <w:szCs w:val="18"/>
              </w:rPr>
            </w:pPr>
          </w:p>
        </w:tc>
        <w:tc>
          <w:tcPr>
            <w:tcW w:w="3270"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1" w:type="dxa"/>
            <w:tcBorders>
              <w:top w:val="nil"/>
              <w:left w:val="nil"/>
              <w:right w:val="nil"/>
            </w:tcBorders>
            <w:noWrap w:val="0"/>
            <w:vAlign w:val="top"/>
          </w:tcPr>
          <w:p>
            <w:pPr>
              <w:rPr>
                <w:rFonts w:ascii="宋体" w:hAnsi="宋体"/>
                <w:bCs/>
                <w:sz w:val="18"/>
                <w:szCs w:val="18"/>
              </w:rPr>
            </w:pPr>
          </w:p>
        </w:tc>
        <w:tc>
          <w:tcPr>
            <w:tcW w:w="1530" w:type="dxa"/>
            <w:tcBorders>
              <w:top w:val="nil"/>
              <w:left w:val="nil"/>
              <w:right w:val="nil"/>
            </w:tcBorders>
            <w:noWrap w:val="0"/>
            <w:vAlign w:val="top"/>
          </w:tcPr>
          <w:p>
            <w:pPr>
              <w:rPr>
                <w:rFonts w:ascii="宋体" w:hAnsi="宋体"/>
                <w:bCs/>
                <w:sz w:val="18"/>
                <w:szCs w:val="18"/>
              </w:rPr>
            </w:pPr>
          </w:p>
        </w:tc>
        <w:tc>
          <w:tcPr>
            <w:tcW w:w="2295" w:type="dxa"/>
            <w:tcBorders>
              <w:top w:val="nil"/>
              <w:left w:val="nil"/>
              <w:right w:val="nil"/>
            </w:tcBorders>
            <w:noWrap w:val="0"/>
            <w:vAlign w:val="top"/>
          </w:tcPr>
          <w:p>
            <w:pPr>
              <w:rPr>
                <w:rFonts w:ascii="宋体" w:hAnsi="宋体"/>
                <w:bCs/>
                <w:sz w:val="18"/>
                <w:szCs w:val="18"/>
              </w:rPr>
            </w:pPr>
          </w:p>
        </w:tc>
        <w:tc>
          <w:tcPr>
            <w:tcW w:w="3270"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说明：1、本表综合反映报告月份企业对外设计咨询业务项目的基本情况。</w:t>
      </w:r>
    </w:p>
    <w:p>
      <w:pPr>
        <w:numPr>
          <w:ilvl w:val="0"/>
          <w:numId w:val="2"/>
        </w:numPr>
        <w:rPr>
          <w:rFonts w:ascii="宋体" w:hAnsi="宋体"/>
          <w:bCs/>
          <w:sz w:val="18"/>
          <w:szCs w:val="18"/>
        </w:rPr>
      </w:pPr>
      <w:r>
        <w:rPr>
          <w:rFonts w:hint="eastAsia" w:ascii="宋体" w:hAnsi="宋体"/>
          <w:bCs/>
          <w:sz w:val="18"/>
          <w:szCs w:val="18"/>
        </w:rPr>
        <w:t>本表由企业于月后10日内报送省级商务主管部门或商务部。</w:t>
      </w:r>
    </w:p>
    <w:p>
      <w:pPr>
        <w:widowControl/>
        <w:ind w:firstLine="540" w:firstLineChars="300"/>
        <w:jc w:val="left"/>
        <w:rPr>
          <w:sz w:val="18"/>
          <w:szCs w:val="18"/>
          <w:lang w:val="en"/>
        </w:rPr>
      </w:pPr>
      <w:r>
        <w:rPr>
          <w:rStyle w:val="9"/>
          <w:rFonts w:hint="eastAsia" w:ascii="宋体" w:hAnsi="宋体" w:eastAsia="宋体" w:cs="宋体"/>
          <w:iCs/>
          <w:color w:val="auto"/>
          <w:kern w:val="0"/>
          <w:sz w:val="18"/>
          <w:szCs w:val="18"/>
          <w:lang w:bidi="ar"/>
        </w:rPr>
        <w:t>3、对外设计咨询是指中国的企业或者其他单位为境外投资建设项目提供咨询和管理服务，开展相关规划、咨询、勘察、设计、造价、监理、项目管理和运营维护等活动，是对外承包工程的重要组成部分。</w:t>
      </w:r>
    </w:p>
    <w:p>
      <w:pPr>
        <w:ind w:left="540"/>
        <w:rPr>
          <w:rFonts w:ascii="宋体" w:hAnsi="宋体"/>
          <w:bCs/>
          <w:sz w:val="18"/>
          <w:szCs w:val="18"/>
        </w:rPr>
      </w:pPr>
      <w:r>
        <w:rPr>
          <w:rFonts w:hint="eastAsia" w:ascii="宋体" w:hAnsi="宋体"/>
          <w:bCs/>
          <w:sz w:val="18"/>
          <w:szCs w:val="18"/>
        </w:rPr>
        <w:t>4、项目所属范围包括项目</w:t>
      </w:r>
      <w:r>
        <w:rPr>
          <w:rStyle w:val="9"/>
          <w:rFonts w:hint="eastAsia" w:ascii="宋体" w:hAnsi="宋体" w:eastAsia="宋体" w:cs="宋体"/>
          <w:iCs/>
          <w:color w:val="auto"/>
          <w:kern w:val="0"/>
          <w:sz w:val="18"/>
          <w:szCs w:val="18"/>
          <w:lang w:bidi="ar"/>
        </w:rPr>
        <w:t>规划、咨询、勘察、设计、造价、</w:t>
      </w:r>
      <w:r>
        <w:rPr>
          <w:rStyle w:val="9"/>
          <w:rFonts w:hint="eastAsia" w:ascii="宋体" w:hAnsi="宋体" w:cs="宋体"/>
          <w:iCs/>
          <w:color w:val="auto"/>
          <w:kern w:val="0"/>
          <w:sz w:val="18"/>
          <w:szCs w:val="18"/>
          <w:lang w:bidi="ar"/>
        </w:rPr>
        <w:t>评估、</w:t>
      </w:r>
      <w:r>
        <w:rPr>
          <w:rStyle w:val="9"/>
          <w:rFonts w:hint="eastAsia" w:ascii="宋体" w:hAnsi="宋体" w:eastAsia="宋体" w:cs="宋体"/>
          <w:iCs/>
          <w:color w:val="auto"/>
          <w:kern w:val="0"/>
          <w:sz w:val="18"/>
          <w:szCs w:val="18"/>
          <w:lang w:bidi="ar"/>
        </w:rPr>
        <w:t>监理、项目管理、运营维护和其他。</w:t>
      </w:r>
    </w:p>
    <w:p>
      <w:pPr>
        <w:ind w:firstLine="540" w:firstLineChars="300"/>
        <w:jc w:val="left"/>
        <w:rPr>
          <w:rFonts w:ascii="宋体" w:hAnsi="宋体"/>
          <w:bCs/>
          <w:sz w:val="18"/>
          <w:szCs w:val="18"/>
        </w:rPr>
      </w:pPr>
      <w:r>
        <w:rPr>
          <w:rFonts w:hint="eastAsia" w:ascii="宋体" w:hAnsi="宋体"/>
          <w:bCs/>
          <w:sz w:val="18"/>
          <w:szCs w:val="18"/>
        </w:rPr>
        <w:t>5、“涉及国民经济行业”见附录（二）。</w:t>
      </w:r>
    </w:p>
    <w:p>
      <w:pPr>
        <w:ind w:firstLine="540" w:firstLineChars="300"/>
        <w:rPr>
          <w:rFonts w:ascii="宋体" w:hAnsi="宋体"/>
          <w:bCs/>
          <w:sz w:val="18"/>
          <w:szCs w:val="18"/>
        </w:rPr>
      </w:pPr>
      <w:r>
        <w:rPr>
          <w:rFonts w:hint="eastAsia" w:ascii="宋体" w:hAnsi="宋体"/>
          <w:bCs/>
          <w:sz w:val="18"/>
          <w:szCs w:val="18"/>
        </w:rPr>
        <w:t>6、项目的资金来源：指企业承揽工程项目的工程款的主要来源，包括：业主自筹、项目所在国政府资金、国际金融机构拨款、援外优惠贷款、优惠出口买方信贷、国内商业性质出口买方信贷、国内出口卖方信贷、其他等。</w:t>
      </w:r>
    </w:p>
    <w:p>
      <w:pPr>
        <w:ind w:firstLine="540" w:firstLineChars="300"/>
        <w:rPr>
          <w:rFonts w:ascii="宋体" w:hAnsi="宋体"/>
          <w:bCs/>
          <w:sz w:val="18"/>
          <w:szCs w:val="18"/>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对外承包节能环保清洁类项目明细</w:t>
      </w:r>
    </w:p>
    <w:p>
      <w:pPr>
        <w:ind w:right="720" w:firstLine="5850" w:firstLineChars="3250"/>
        <w:rPr>
          <w:rFonts w:ascii="宋体" w:hAnsi="宋体"/>
          <w:bCs/>
          <w:sz w:val="18"/>
          <w:szCs w:val="18"/>
        </w:rPr>
      </w:pPr>
    </w:p>
    <w:tbl>
      <w:tblPr>
        <w:tblStyle w:val="6"/>
        <w:tblW w:w="9522" w:type="dxa"/>
        <w:tblInd w:w="93" w:type="dxa"/>
        <w:tblLayout w:type="fixed"/>
        <w:tblCellMar>
          <w:top w:w="0" w:type="dxa"/>
          <w:left w:w="108" w:type="dxa"/>
          <w:bottom w:w="0" w:type="dxa"/>
          <w:right w:w="108" w:type="dxa"/>
        </w:tblCellMar>
      </w:tblPr>
      <w:tblGrid>
        <w:gridCol w:w="5840"/>
        <w:gridCol w:w="3682"/>
      </w:tblGrid>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号：CB4</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144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368" w:type="dxa"/>
            <w:tcBorders>
              <w:left w:val="nil"/>
              <w:tl2br w:val="single" w:color="auto" w:sz="4" w:space="0"/>
            </w:tcBorders>
            <w:noWrap w:val="0"/>
            <w:vAlign w:val="top"/>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noWrap w:val="0"/>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noWrap w:val="0"/>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noWrap w:val="0"/>
            <w:vAlign w:val="center"/>
          </w:tcPr>
          <w:p>
            <w:pPr>
              <w:jc w:val="center"/>
              <w:rPr>
                <w:rFonts w:ascii="宋体" w:hAnsi="宋体"/>
                <w:bCs/>
                <w:sz w:val="18"/>
                <w:szCs w:val="18"/>
              </w:rPr>
            </w:pPr>
            <w:r>
              <w:rPr>
                <w:rFonts w:hint="eastAsia" w:ascii="宋体" w:hAnsi="宋体"/>
                <w:bCs/>
                <w:sz w:val="18"/>
                <w:szCs w:val="18"/>
              </w:rPr>
              <w:t>所属节能环保清洁项目类别</w:t>
            </w:r>
          </w:p>
        </w:tc>
        <w:tc>
          <w:tcPr>
            <w:tcW w:w="900" w:type="dxa"/>
            <w:noWrap w:val="0"/>
            <w:vAlign w:val="center"/>
          </w:tcPr>
          <w:p>
            <w:pPr>
              <w:jc w:val="center"/>
              <w:rPr>
                <w:rFonts w:ascii="宋体" w:hAnsi="宋体"/>
                <w:bCs/>
                <w:sz w:val="18"/>
                <w:szCs w:val="18"/>
              </w:rPr>
            </w:pPr>
            <w:r>
              <w:rPr>
                <w:rFonts w:hint="eastAsia" w:ascii="宋体" w:hAnsi="宋体"/>
                <w:bCs/>
                <w:sz w:val="18"/>
                <w:szCs w:val="18"/>
              </w:rPr>
              <w:t>签约日期</w:t>
            </w:r>
          </w:p>
        </w:tc>
        <w:tc>
          <w:tcPr>
            <w:tcW w:w="900" w:type="dxa"/>
            <w:noWrap w:val="0"/>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noWrap w:val="0"/>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tcBorders>
              <w:right w:val="nil"/>
            </w:tcBorders>
            <w:noWrap w:val="0"/>
            <w:vAlign w:val="center"/>
          </w:tcPr>
          <w:p>
            <w:pPr>
              <w:jc w:val="center"/>
              <w:rPr>
                <w:rFonts w:ascii="宋体" w:hAnsi="宋体"/>
                <w:bCs/>
                <w:sz w:val="18"/>
                <w:szCs w:val="18"/>
              </w:rPr>
            </w:pPr>
            <w:r>
              <w:rPr>
                <w:rFonts w:hint="eastAsia" w:ascii="宋体" w:hAnsi="宋体"/>
                <w:bCs/>
                <w:sz w:val="18"/>
                <w:szCs w:val="18"/>
              </w:rPr>
              <w:t>业主</w:t>
            </w:r>
          </w:p>
        </w:tc>
        <w:tc>
          <w:tcPr>
            <w:tcW w:w="900" w:type="dxa"/>
            <w:tcBorders>
              <w:right w:val="nil"/>
            </w:tcBorders>
            <w:noWrap w:val="0"/>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tcBorders>
              <w:right w:val="nil"/>
            </w:tcBorders>
            <w:noWrap w:val="0"/>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144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己</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庚</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noWrap w:val="0"/>
            <w:vAlign w:val="top"/>
          </w:tcPr>
          <w:p>
            <w:pPr>
              <w:jc w:val="center"/>
              <w:rPr>
                <w:rFonts w:ascii="宋体" w:hAnsi="宋体"/>
                <w:bCs/>
                <w:sz w:val="18"/>
                <w:szCs w:val="18"/>
              </w:rPr>
            </w:pPr>
            <w:r>
              <w:rPr>
                <w:color w:val="333333"/>
              </w:rPr>
              <w:t>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144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144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144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6"/>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2"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noWrap w:val="0"/>
            <w:vAlign w:val="center"/>
          </w:tcPr>
          <w:p>
            <w:pPr>
              <w:jc w:val="center"/>
              <w:rPr>
                <w:rFonts w:ascii="宋体" w:hAnsi="宋体"/>
                <w:bCs/>
                <w:sz w:val="18"/>
                <w:szCs w:val="18"/>
              </w:rPr>
            </w:pPr>
            <w:r>
              <w:rPr>
                <w:rFonts w:hint="eastAsia" w:ascii="宋体" w:hAnsi="宋体"/>
                <w:bCs/>
                <w:sz w:val="18"/>
                <w:szCs w:val="18"/>
              </w:rPr>
              <w:t>带动出口额</w:t>
            </w:r>
          </w:p>
        </w:tc>
        <w:tc>
          <w:tcPr>
            <w:tcW w:w="992" w:type="dxa"/>
            <w:noWrap w:val="0"/>
            <w:vAlign w:val="center"/>
          </w:tcPr>
          <w:p>
            <w:pPr>
              <w:jc w:val="center"/>
              <w:rPr>
                <w:rFonts w:ascii="宋体" w:hAnsi="宋体"/>
                <w:bCs/>
                <w:sz w:val="18"/>
                <w:szCs w:val="18"/>
              </w:rPr>
            </w:pPr>
            <w:r>
              <w:rPr>
                <w:rFonts w:hint="eastAsia" w:ascii="宋体" w:hAnsi="宋体"/>
                <w:bCs/>
                <w:sz w:val="18"/>
                <w:szCs w:val="18"/>
              </w:rPr>
              <w:t>外派人数</w:t>
            </w:r>
          </w:p>
        </w:tc>
        <w:tc>
          <w:tcPr>
            <w:tcW w:w="1418" w:type="dxa"/>
            <w:noWrap w:val="0"/>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月末雇佣项目所在国人员数量</w:t>
            </w:r>
          </w:p>
        </w:tc>
        <w:tc>
          <w:tcPr>
            <w:tcW w:w="2063"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nil"/>
              <w:right w:val="nil"/>
            </w:tcBorders>
            <w:noWrap w:val="0"/>
            <w:vAlign w:val="top"/>
          </w:tcPr>
          <w:p>
            <w:pPr>
              <w:rPr>
                <w:rFonts w:ascii="宋体" w:hAnsi="宋体"/>
                <w:bCs/>
                <w:sz w:val="18"/>
                <w:szCs w:val="18"/>
              </w:rPr>
            </w:pPr>
          </w:p>
        </w:tc>
        <w:tc>
          <w:tcPr>
            <w:tcW w:w="1134" w:type="dxa"/>
            <w:tcBorders>
              <w:left w:val="nil"/>
              <w:bottom w:val="nil"/>
              <w:right w:val="nil"/>
            </w:tcBorders>
            <w:noWrap w:val="0"/>
            <w:vAlign w:val="top"/>
          </w:tcPr>
          <w:p>
            <w:pPr>
              <w:rPr>
                <w:rFonts w:ascii="宋体" w:hAnsi="宋体"/>
                <w:bCs/>
                <w:sz w:val="18"/>
                <w:szCs w:val="18"/>
              </w:rPr>
            </w:pPr>
          </w:p>
        </w:tc>
        <w:tc>
          <w:tcPr>
            <w:tcW w:w="1276" w:type="dxa"/>
            <w:tcBorders>
              <w:left w:val="nil"/>
              <w:bottom w:val="nil"/>
              <w:right w:val="nil"/>
            </w:tcBorders>
            <w:noWrap w:val="0"/>
            <w:vAlign w:val="top"/>
          </w:tcPr>
          <w:p>
            <w:pPr>
              <w:rPr>
                <w:rFonts w:ascii="宋体" w:hAnsi="宋体"/>
                <w:bCs/>
                <w:sz w:val="18"/>
                <w:szCs w:val="18"/>
              </w:rPr>
            </w:pPr>
          </w:p>
        </w:tc>
        <w:tc>
          <w:tcPr>
            <w:tcW w:w="992" w:type="dxa"/>
            <w:tcBorders>
              <w:left w:val="nil"/>
              <w:bottom w:val="nil"/>
              <w:right w:val="nil"/>
            </w:tcBorders>
            <w:noWrap w:val="0"/>
            <w:vAlign w:val="top"/>
          </w:tcPr>
          <w:p>
            <w:pPr>
              <w:rPr>
                <w:rFonts w:ascii="宋体" w:hAnsi="宋体"/>
                <w:bCs/>
                <w:sz w:val="18"/>
                <w:szCs w:val="18"/>
              </w:rPr>
            </w:pPr>
          </w:p>
        </w:tc>
        <w:tc>
          <w:tcPr>
            <w:tcW w:w="1418" w:type="dxa"/>
            <w:tcBorders>
              <w:left w:val="nil"/>
              <w:bottom w:val="nil"/>
              <w:right w:val="nil"/>
            </w:tcBorders>
            <w:noWrap w:val="0"/>
            <w:vAlign w:val="top"/>
          </w:tcPr>
          <w:p>
            <w:pPr>
              <w:rPr>
                <w:rFonts w:ascii="宋体" w:hAnsi="宋体"/>
                <w:bCs/>
                <w:sz w:val="18"/>
                <w:szCs w:val="18"/>
              </w:rPr>
            </w:pPr>
          </w:p>
        </w:tc>
        <w:tc>
          <w:tcPr>
            <w:tcW w:w="1559" w:type="dxa"/>
            <w:tcBorders>
              <w:left w:val="nil"/>
              <w:bottom w:val="nil"/>
              <w:right w:val="nil"/>
            </w:tcBorders>
            <w:noWrap w:val="0"/>
            <w:vAlign w:val="top"/>
          </w:tcPr>
          <w:p>
            <w:pPr>
              <w:rPr>
                <w:rFonts w:ascii="宋体" w:hAnsi="宋体"/>
                <w:bCs/>
                <w:sz w:val="18"/>
                <w:szCs w:val="18"/>
              </w:rPr>
            </w:pPr>
          </w:p>
        </w:tc>
        <w:tc>
          <w:tcPr>
            <w:tcW w:w="2063"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1276"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418" w:type="dxa"/>
            <w:tcBorders>
              <w:top w:val="nil"/>
              <w:left w:val="nil"/>
              <w:bottom w:val="nil"/>
              <w:right w:val="nil"/>
            </w:tcBorders>
            <w:noWrap w:val="0"/>
            <w:vAlign w:val="top"/>
          </w:tcPr>
          <w:p>
            <w:pPr>
              <w:rPr>
                <w:rFonts w:ascii="宋体" w:hAnsi="宋体"/>
                <w:bCs/>
                <w:sz w:val="18"/>
                <w:szCs w:val="18"/>
              </w:rPr>
            </w:pPr>
          </w:p>
        </w:tc>
        <w:tc>
          <w:tcPr>
            <w:tcW w:w="1559" w:type="dxa"/>
            <w:tcBorders>
              <w:top w:val="nil"/>
              <w:left w:val="nil"/>
              <w:bottom w:val="nil"/>
              <w:right w:val="nil"/>
            </w:tcBorders>
            <w:noWrap w:val="0"/>
            <w:vAlign w:val="top"/>
          </w:tcPr>
          <w:p>
            <w:pPr>
              <w:rPr>
                <w:rFonts w:ascii="宋体" w:hAnsi="宋体"/>
                <w:bCs/>
                <w:sz w:val="18"/>
                <w:szCs w:val="18"/>
              </w:rPr>
            </w:pPr>
          </w:p>
        </w:tc>
        <w:tc>
          <w:tcPr>
            <w:tcW w:w="2063"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right w:val="nil"/>
            </w:tcBorders>
            <w:noWrap w:val="0"/>
            <w:vAlign w:val="top"/>
          </w:tcPr>
          <w:p>
            <w:pPr>
              <w:rPr>
                <w:rFonts w:ascii="宋体" w:hAnsi="宋体"/>
                <w:bCs/>
                <w:sz w:val="18"/>
                <w:szCs w:val="18"/>
              </w:rPr>
            </w:pPr>
          </w:p>
        </w:tc>
        <w:tc>
          <w:tcPr>
            <w:tcW w:w="1134" w:type="dxa"/>
            <w:tcBorders>
              <w:top w:val="nil"/>
              <w:left w:val="nil"/>
              <w:right w:val="nil"/>
            </w:tcBorders>
            <w:noWrap w:val="0"/>
            <w:vAlign w:val="top"/>
          </w:tcPr>
          <w:p>
            <w:pPr>
              <w:rPr>
                <w:rFonts w:ascii="宋体" w:hAnsi="宋体"/>
                <w:bCs/>
                <w:sz w:val="18"/>
                <w:szCs w:val="18"/>
              </w:rPr>
            </w:pPr>
          </w:p>
        </w:tc>
        <w:tc>
          <w:tcPr>
            <w:tcW w:w="1276" w:type="dxa"/>
            <w:tcBorders>
              <w:top w:val="nil"/>
              <w:left w:val="nil"/>
              <w:right w:val="nil"/>
            </w:tcBorders>
            <w:noWrap w:val="0"/>
            <w:vAlign w:val="top"/>
          </w:tcPr>
          <w:p>
            <w:pPr>
              <w:rPr>
                <w:rFonts w:ascii="宋体" w:hAnsi="宋体"/>
                <w:bCs/>
                <w:sz w:val="18"/>
                <w:szCs w:val="18"/>
              </w:rPr>
            </w:pPr>
          </w:p>
        </w:tc>
        <w:tc>
          <w:tcPr>
            <w:tcW w:w="992" w:type="dxa"/>
            <w:tcBorders>
              <w:top w:val="nil"/>
              <w:left w:val="nil"/>
              <w:right w:val="nil"/>
            </w:tcBorders>
            <w:noWrap w:val="0"/>
            <w:vAlign w:val="top"/>
          </w:tcPr>
          <w:p>
            <w:pPr>
              <w:rPr>
                <w:rFonts w:ascii="宋体" w:hAnsi="宋体"/>
                <w:bCs/>
                <w:sz w:val="18"/>
                <w:szCs w:val="18"/>
              </w:rPr>
            </w:pPr>
          </w:p>
        </w:tc>
        <w:tc>
          <w:tcPr>
            <w:tcW w:w="1418" w:type="dxa"/>
            <w:tcBorders>
              <w:top w:val="nil"/>
              <w:left w:val="nil"/>
              <w:right w:val="nil"/>
            </w:tcBorders>
            <w:noWrap w:val="0"/>
            <w:vAlign w:val="top"/>
          </w:tcPr>
          <w:p>
            <w:pPr>
              <w:rPr>
                <w:rFonts w:ascii="宋体" w:hAnsi="宋体"/>
                <w:bCs/>
                <w:sz w:val="18"/>
                <w:szCs w:val="18"/>
              </w:rPr>
            </w:pPr>
          </w:p>
        </w:tc>
        <w:tc>
          <w:tcPr>
            <w:tcW w:w="1559" w:type="dxa"/>
            <w:tcBorders>
              <w:top w:val="nil"/>
              <w:left w:val="nil"/>
              <w:right w:val="nil"/>
            </w:tcBorders>
            <w:noWrap w:val="0"/>
            <w:vAlign w:val="top"/>
          </w:tcPr>
          <w:p>
            <w:pPr>
              <w:rPr>
                <w:rFonts w:ascii="宋体" w:hAnsi="宋体"/>
                <w:bCs/>
                <w:sz w:val="18"/>
                <w:szCs w:val="18"/>
              </w:rPr>
            </w:pPr>
          </w:p>
        </w:tc>
        <w:tc>
          <w:tcPr>
            <w:tcW w:w="2063"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说明：1、本表综合反映报告月份企业对外承包节能环保清洁类项目的基本情况。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3、节能环保清洁类项目分类见附录（三）。</w:t>
      </w:r>
    </w:p>
    <w:p>
      <w:pPr>
        <w:ind w:firstLine="540" w:firstLineChars="300"/>
        <w:rPr>
          <w:rFonts w:ascii="宋体" w:hAnsi="宋体"/>
          <w:bCs/>
          <w:sz w:val="18"/>
          <w:szCs w:val="18"/>
        </w:rPr>
      </w:pPr>
      <w:r>
        <w:rPr>
          <w:rFonts w:hint="eastAsia" w:ascii="宋体" w:hAnsi="宋体"/>
          <w:bCs/>
          <w:sz w:val="18"/>
          <w:szCs w:val="18"/>
        </w:rPr>
        <w:t>4、项目的资金来源：指企业承揽工程项目的工程款的主要来源，包括：业主自筹、项目所在国政府资金、国际金融机构拨款、援外优惠贷款、优惠出口买方信贷、国内商业性质出口买方信贷、国内出口卖方信贷、其他等。</w:t>
      </w:r>
    </w:p>
    <w:p>
      <w:pPr>
        <w:ind w:firstLine="540" w:firstLineChars="300"/>
        <w:rPr>
          <w:rFonts w:ascii="宋体" w:hAnsi="宋体"/>
          <w:bCs/>
          <w:sz w:val="18"/>
          <w:szCs w:val="18"/>
        </w:rPr>
      </w:pPr>
      <w:r>
        <w:rPr>
          <w:rFonts w:hint="eastAsia" w:ascii="宋体" w:hAnsi="宋体"/>
          <w:bCs/>
          <w:sz w:val="18"/>
          <w:szCs w:val="18"/>
        </w:rPr>
        <w:t>5、项目承包方式：包括（1）传统承包方式，包括施工或总承包（含设计-建造、设计-采购-施工）；（2）融资模式，指承包商提供融资服务的承包、总承包（如设计-采购-施工+融资）；（3）投资模式，包括特许经营类、公私合营类；（4）其他，除上述三种模式以外的其他方式。。</w:t>
      </w: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新签交通运输建设项目明细</w:t>
      </w:r>
    </w:p>
    <w:p>
      <w:pPr>
        <w:jc w:val="center"/>
        <w:rPr>
          <w:rFonts w:ascii="宋体" w:hAnsi="宋体"/>
          <w:b/>
          <w:szCs w:val="21"/>
        </w:rPr>
      </w:pPr>
    </w:p>
    <w:tbl>
      <w:tblPr>
        <w:tblStyle w:val="6"/>
        <w:tblW w:w="9177" w:type="dxa"/>
        <w:tblInd w:w="93" w:type="dxa"/>
        <w:tblLayout w:type="fixed"/>
        <w:tblCellMar>
          <w:top w:w="0" w:type="dxa"/>
          <w:left w:w="108" w:type="dxa"/>
          <w:bottom w:w="0" w:type="dxa"/>
          <w:right w:w="108" w:type="dxa"/>
        </w:tblCellMar>
      </w:tblPr>
      <w:tblGrid>
        <w:gridCol w:w="5620"/>
        <w:gridCol w:w="3557"/>
      </w:tblGrid>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号：CB5</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计量单位：万美元、公里、人</w:t>
            </w:r>
          </w:p>
        </w:tc>
      </w:tr>
    </w:tbl>
    <w:p>
      <w:pPr>
        <w:tabs>
          <w:tab w:val="left" w:pos="8640"/>
        </w:tabs>
        <w:ind w:right="360"/>
        <w:jc w:val="center"/>
        <w:rPr>
          <w:rFonts w:ascii="宋体" w:hAnsi="宋体"/>
          <w:bCs/>
          <w:sz w:val="18"/>
          <w:szCs w:val="18"/>
        </w:rPr>
      </w:pPr>
      <w:r>
        <w:rPr>
          <w:rFonts w:hint="eastAsia" w:ascii="宋体" w:hAnsi="宋体"/>
          <w:bCs/>
          <w:sz w:val="18"/>
          <w:szCs w:val="18"/>
        </w:rPr>
        <w:t xml:space="preserve">          年      月</w:t>
      </w:r>
    </w:p>
    <w:tbl>
      <w:tblPr>
        <w:tblStyle w:val="6"/>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57"/>
        <w:gridCol w:w="1340"/>
        <w:gridCol w:w="1095"/>
        <w:gridCol w:w="900"/>
        <w:gridCol w:w="903"/>
        <w:gridCol w:w="125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1728" w:type="dxa"/>
            <w:tcBorders>
              <w:top w:val="single" w:color="auto" w:sz="4" w:space="0"/>
              <w:left w:val="nil"/>
              <w:tl2br w:val="single" w:color="auto" w:sz="4" w:space="0"/>
            </w:tcBorders>
            <w:noWrap w:val="0"/>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主要大类</w:t>
            </w:r>
          </w:p>
        </w:tc>
        <w:tc>
          <w:tcPr>
            <w:tcW w:w="1357"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项目</w:t>
            </w:r>
          </w:p>
          <w:p>
            <w:pPr>
              <w:jc w:val="center"/>
              <w:rPr>
                <w:rFonts w:ascii="宋体" w:hAnsi="宋体"/>
                <w:bCs/>
                <w:sz w:val="18"/>
                <w:szCs w:val="18"/>
              </w:rPr>
            </w:pPr>
            <w:r>
              <w:rPr>
                <w:rFonts w:hint="eastAsia" w:ascii="宋体" w:hAnsi="宋体"/>
                <w:bCs/>
                <w:sz w:val="18"/>
                <w:szCs w:val="18"/>
              </w:rPr>
              <w:t>明细</w:t>
            </w:r>
          </w:p>
          <w:p>
            <w:pPr>
              <w:rPr>
                <w:rFonts w:ascii="宋体" w:hAnsi="宋体"/>
                <w:bCs/>
                <w:sz w:val="18"/>
                <w:szCs w:val="18"/>
              </w:rPr>
            </w:pPr>
            <w:r>
              <w:rPr>
                <w:rFonts w:hint="eastAsia" w:ascii="宋体" w:hAnsi="宋体"/>
                <w:bCs/>
                <w:sz w:val="18"/>
                <w:szCs w:val="18"/>
              </w:rPr>
              <w:t xml:space="preserve">    分类</w:t>
            </w:r>
          </w:p>
        </w:tc>
        <w:tc>
          <w:tcPr>
            <w:tcW w:w="1340" w:type="dxa"/>
            <w:tcBorders>
              <w:top w:val="single" w:color="auto" w:sz="4" w:space="0"/>
            </w:tcBorders>
            <w:noWrap w:val="0"/>
            <w:vAlign w:val="top"/>
          </w:tcPr>
          <w:p>
            <w:pPr>
              <w:jc w:val="cente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项目资金来源</w:t>
            </w:r>
          </w:p>
        </w:tc>
        <w:tc>
          <w:tcPr>
            <w:tcW w:w="1095" w:type="dxa"/>
            <w:tcBorders>
              <w:top w:val="single" w:color="auto" w:sz="4" w:space="0"/>
            </w:tcBorders>
            <w:noWrap w:val="0"/>
            <w:vAlign w:val="top"/>
          </w:tcPr>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项目承包方式</w:t>
            </w:r>
          </w:p>
        </w:tc>
        <w:tc>
          <w:tcPr>
            <w:tcW w:w="900"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新签合同额</w:t>
            </w:r>
          </w:p>
        </w:tc>
        <w:tc>
          <w:tcPr>
            <w:tcW w:w="903"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线路总里程</w:t>
            </w:r>
          </w:p>
        </w:tc>
        <w:tc>
          <w:tcPr>
            <w:tcW w:w="1257"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预计带动</w:t>
            </w:r>
          </w:p>
          <w:p>
            <w:pPr>
              <w:jc w:val="center"/>
              <w:rPr>
                <w:rFonts w:ascii="宋体" w:hAnsi="宋体"/>
                <w:bCs/>
                <w:sz w:val="18"/>
                <w:szCs w:val="18"/>
              </w:rPr>
            </w:pPr>
            <w:r>
              <w:rPr>
                <w:rFonts w:hint="eastAsia" w:ascii="宋体" w:hAnsi="宋体"/>
                <w:bCs/>
                <w:sz w:val="18"/>
                <w:szCs w:val="18"/>
              </w:rPr>
              <w:t>出口额</w:t>
            </w:r>
          </w:p>
        </w:tc>
        <w:tc>
          <w:tcPr>
            <w:tcW w:w="792" w:type="dxa"/>
            <w:tcBorders>
              <w:top w:val="single" w:color="auto" w:sz="4" w:space="0"/>
              <w:right w:val="nil"/>
            </w:tcBorders>
            <w:noWrap w:val="0"/>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135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134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1095"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903"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125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792"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nil"/>
              <w:right w:val="single" w:color="auto" w:sz="4" w:space="0"/>
            </w:tcBorders>
            <w:noWrap w:val="0"/>
            <w:vAlign w:val="center"/>
          </w:tcPr>
          <w:p>
            <w:pPr>
              <w:jc w:val="center"/>
              <w:rPr>
                <w:rFonts w:ascii="宋体" w:hAnsi="宋体"/>
                <w:bCs/>
                <w:sz w:val="18"/>
                <w:szCs w:val="18"/>
              </w:rPr>
            </w:pPr>
            <w:r>
              <w:rPr>
                <w:rFonts w:hint="eastAsia" w:ascii="宋体" w:hAnsi="宋体"/>
                <w:bCs/>
                <w:sz w:val="18"/>
                <w:szCs w:val="18"/>
              </w:rPr>
              <w:t>合   计</w:t>
            </w:r>
          </w:p>
        </w:tc>
        <w:tc>
          <w:tcPr>
            <w:tcW w:w="1357" w:type="dxa"/>
            <w:tcBorders>
              <w:left w:val="single" w:color="auto" w:sz="4" w:space="0"/>
              <w:bottom w:val="nil"/>
              <w:right w:val="nil"/>
            </w:tcBorders>
            <w:noWrap w:val="0"/>
            <w:vAlign w:val="top"/>
          </w:tcPr>
          <w:p>
            <w:pPr>
              <w:rPr>
                <w:rFonts w:ascii="宋体" w:hAnsi="宋体"/>
                <w:bCs/>
                <w:sz w:val="18"/>
                <w:szCs w:val="18"/>
              </w:rPr>
            </w:pPr>
          </w:p>
        </w:tc>
        <w:tc>
          <w:tcPr>
            <w:tcW w:w="1340" w:type="dxa"/>
            <w:tcBorders>
              <w:left w:val="nil"/>
              <w:bottom w:val="nil"/>
              <w:right w:val="nil"/>
            </w:tcBorders>
            <w:noWrap w:val="0"/>
            <w:vAlign w:val="top"/>
          </w:tcPr>
          <w:p>
            <w:pPr>
              <w:rPr>
                <w:rFonts w:ascii="宋体" w:hAnsi="宋体"/>
                <w:bCs/>
                <w:sz w:val="18"/>
                <w:szCs w:val="18"/>
              </w:rPr>
            </w:pPr>
          </w:p>
        </w:tc>
        <w:tc>
          <w:tcPr>
            <w:tcW w:w="1095"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903" w:type="dxa"/>
            <w:tcBorders>
              <w:left w:val="nil"/>
              <w:bottom w:val="nil"/>
              <w:right w:val="nil"/>
            </w:tcBorders>
            <w:noWrap w:val="0"/>
            <w:vAlign w:val="top"/>
          </w:tcPr>
          <w:p>
            <w:pPr>
              <w:rPr>
                <w:rFonts w:ascii="宋体" w:hAnsi="宋体"/>
                <w:bCs/>
                <w:sz w:val="18"/>
                <w:szCs w:val="18"/>
              </w:rPr>
            </w:pPr>
          </w:p>
        </w:tc>
        <w:tc>
          <w:tcPr>
            <w:tcW w:w="1257" w:type="dxa"/>
            <w:tcBorders>
              <w:left w:val="nil"/>
              <w:bottom w:val="nil"/>
              <w:right w:val="nil"/>
            </w:tcBorders>
            <w:noWrap w:val="0"/>
            <w:vAlign w:val="top"/>
          </w:tcPr>
          <w:p>
            <w:pPr>
              <w:rPr>
                <w:rFonts w:ascii="宋体" w:hAnsi="宋体"/>
                <w:bCs/>
                <w:sz w:val="18"/>
                <w:szCs w:val="18"/>
              </w:rPr>
            </w:pPr>
          </w:p>
        </w:tc>
        <w:tc>
          <w:tcPr>
            <w:tcW w:w="792"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一、公路</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270" w:firstLineChars="15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450" w:firstLineChars="2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二、铁路</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360" w:firstLineChars="20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630" w:firstLineChars="3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630" w:firstLineChars="350"/>
              <w:rPr>
                <w:rFonts w:ascii="宋体" w:hAnsi="宋体"/>
                <w:bCs/>
                <w:sz w:val="18"/>
                <w:szCs w:val="18"/>
              </w:rPr>
            </w:pPr>
            <w:r>
              <w:rPr>
                <w:rFonts w:ascii="宋体" w:hAnsi="宋体"/>
                <w:bCs/>
                <w:sz w:val="18"/>
                <w:szCs w:val="18"/>
              </w:rPr>
              <w:t>•</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right w:val="single" w:color="auto" w:sz="4" w:space="0"/>
            </w:tcBorders>
            <w:noWrap w:val="0"/>
            <w:vAlign w:val="top"/>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right w:val="nil"/>
            </w:tcBorders>
            <w:noWrap w:val="0"/>
            <w:vAlign w:val="top"/>
          </w:tcPr>
          <w:p>
            <w:pPr>
              <w:rPr>
                <w:rFonts w:ascii="宋体" w:hAnsi="宋体"/>
                <w:bCs/>
                <w:sz w:val="18"/>
                <w:szCs w:val="18"/>
              </w:rPr>
            </w:pPr>
          </w:p>
        </w:tc>
        <w:tc>
          <w:tcPr>
            <w:tcW w:w="1340" w:type="dxa"/>
            <w:tcBorders>
              <w:top w:val="nil"/>
              <w:left w:val="nil"/>
              <w:right w:val="nil"/>
            </w:tcBorders>
            <w:noWrap w:val="0"/>
            <w:vAlign w:val="top"/>
          </w:tcPr>
          <w:p>
            <w:pPr>
              <w:rPr>
                <w:rFonts w:ascii="宋体" w:hAnsi="宋体"/>
                <w:bCs/>
                <w:sz w:val="18"/>
                <w:szCs w:val="18"/>
              </w:rPr>
            </w:pPr>
          </w:p>
        </w:tc>
        <w:tc>
          <w:tcPr>
            <w:tcW w:w="1095"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903" w:type="dxa"/>
            <w:tcBorders>
              <w:top w:val="nil"/>
              <w:left w:val="nil"/>
              <w:right w:val="nil"/>
            </w:tcBorders>
            <w:noWrap w:val="0"/>
            <w:vAlign w:val="top"/>
          </w:tcPr>
          <w:p>
            <w:pPr>
              <w:rPr>
                <w:rFonts w:ascii="宋体" w:hAnsi="宋体"/>
                <w:bCs/>
                <w:sz w:val="18"/>
                <w:szCs w:val="18"/>
              </w:rPr>
            </w:pPr>
          </w:p>
        </w:tc>
        <w:tc>
          <w:tcPr>
            <w:tcW w:w="1257" w:type="dxa"/>
            <w:tcBorders>
              <w:top w:val="nil"/>
              <w:left w:val="nil"/>
              <w:right w:val="nil"/>
            </w:tcBorders>
            <w:noWrap w:val="0"/>
            <w:vAlign w:val="top"/>
          </w:tcPr>
          <w:p>
            <w:pPr>
              <w:rPr>
                <w:rFonts w:ascii="宋体" w:hAnsi="宋体"/>
                <w:bCs/>
                <w:sz w:val="18"/>
                <w:szCs w:val="18"/>
              </w:rPr>
            </w:pPr>
          </w:p>
        </w:tc>
        <w:tc>
          <w:tcPr>
            <w:tcW w:w="792"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说明：1、本表综合反映报告月份企业对外新签公路、铁路类交通运输工程项目的基本情况，包括公路、铁路修复项目。由与国（境）外业主签订对外交通运输工程建设类承包工程合同的企业填报。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 xml:space="preserve">2、本表由企业于月后10日内通过网络传输报送。 </w:t>
      </w:r>
    </w:p>
    <w:p>
      <w:pPr>
        <w:widowControl/>
        <w:ind w:firstLine="540" w:firstLineChars="300"/>
        <w:jc w:val="left"/>
        <w:rPr>
          <w:rFonts w:ascii="宋体" w:hAnsi="宋体"/>
          <w:bCs/>
          <w:sz w:val="18"/>
          <w:szCs w:val="18"/>
        </w:rPr>
      </w:pPr>
      <w:r>
        <w:rPr>
          <w:rFonts w:hint="eastAsia" w:ascii="宋体" w:hAnsi="宋体"/>
          <w:bCs/>
          <w:sz w:val="18"/>
          <w:szCs w:val="18"/>
        </w:rPr>
        <w:t>3、项目明细分类：公路项目分为高速公路和普通公路；铁路项目分为高速铁路、普速铁路、城市轨道（包括轻轨和地铁）。</w:t>
      </w:r>
    </w:p>
    <w:p>
      <w:pPr>
        <w:widowControl/>
        <w:ind w:firstLine="540" w:firstLineChars="300"/>
        <w:jc w:val="left"/>
        <w:rPr>
          <w:rFonts w:ascii="宋体" w:hAnsi="宋体"/>
          <w:bCs/>
          <w:sz w:val="18"/>
          <w:szCs w:val="18"/>
        </w:rPr>
      </w:pPr>
    </w:p>
    <w:p>
      <w:pPr>
        <w:widowControl/>
        <w:ind w:firstLine="540" w:firstLineChars="30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新签电力工程建设项目明细</w:t>
      </w:r>
    </w:p>
    <w:p>
      <w:pPr>
        <w:jc w:val="center"/>
        <w:rPr>
          <w:rFonts w:ascii="宋体" w:hAnsi="宋体"/>
          <w:b/>
          <w:szCs w:val="21"/>
        </w:rPr>
      </w:pPr>
    </w:p>
    <w:tbl>
      <w:tblPr>
        <w:tblStyle w:val="6"/>
        <w:tblW w:w="9522" w:type="dxa"/>
        <w:tblInd w:w="93" w:type="dxa"/>
        <w:tblLayout w:type="fixed"/>
        <w:tblCellMar>
          <w:top w:w="0" w:type="dxa"/>
          <w:left w:w="108" w:type="dxa"/>
          <w:bottom w:w="0" w:type="dxa"/>
          <w:right w:w="108" w:type="dxa"/>
        </w:tblCellMar>
      </w:tblPr>
      <w:tblGrid>
        <w:gridCol w:w="5500"/>
        <w:gridCol w:w="4022"/>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号：CB6</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计量单位：万美元、万千瓦、人</w:t>
            </w:r>
          </w:p>
        </w:tc>
      </w:tr>
    </w:tbl>
    <w:p>
      <w:pPr>
        <w:ind w:right="420"/>
        <w:jc w:val="center"/>
        <w:rPr>
          <w:rFonts w:ascii="宋体" w:hAnsi="宋体"/>
          <w:bCs/>
          <w:sz w:val="18"/>
          <w:szCs w:val="18"/>
        </w:rPr>
      </w:pPr>
      <w:r>
        <w:rPr>
          <w:rFonts w:hint="eastAsia" w:ascii="宋体" w:hAnsi="宋体"/>
          <w:bCs/>
          <w:sz w:val="18"/>
          <w:szCs w:val="18"/>
        </w:rPr>
        <w:t xml:space="preserve">         年      月             </w:t>
      </w:r>
    </w:p>
    <w:tbl>
      <w:tblPr>
        <w:tblStyle w:val="6"/>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62"/>
        <w:gridCol w:w="1077"/>
        <w:gridCol w:w="1070"/>
        <w:gridCol w:w="1134"/>
        <w:gridCol w:w="992"/>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908" w:type="dxa"/>
            <w:tcBorders>
              <w:top w:val="single" w:color="auto" w:sz="4" w:space="0"/>
              <w:left w:val="nil"/>
              <w:tl2br w:val="single" w:color="auto" w:sz="4" w:space="0"/>
            </w:tcBorders>
            <w:noWrap w:val="0"/>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国家、项目</w:t>
            </w:r>
          </w:p>
        </w:tc>
        <w:tc>
          <w:tcPr>
            <w:tcW w:w="1362"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项目分类</w:t>
            </w:r>
          </w:p>
        </w:tc>
        <w:tc>
          <w:tcPr>
            <w:tcW w:w="1077"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项目资金来源</w:t>
            </w:r>
          </w:p>
        </w:tc>
        <w:tc>
          <w:tcPr>
            <w:tcW w:w="1070"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项目承包方式</w:t>
            </w:r>
          </w:p>
        </w:tc>
        <w:tc>
          <w:tcPr>
            <w:tcW w:w="1134"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新签合同额</w:t>
            </w:r>
          </w:p>
        </w:tc>
        <w:tc>
          <w:tcPr>
            <w:tcW w:w="992"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装机容量</w:t>
            </w:r>
          </w:p>
        </w:tc>
        <w:tc>
          <w:tcPr>
            <w:tcW w:w="992"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预计带动出口额</w:t>
            </w:r>
          </w:p>
        </w:tc>
        <w:tc>
          <w:tcPr>
            <w:tcW w:w="1046" w:type="dxa"/>
            <w:tcBorders>
              <w:top w:val="single" w:color="auto" w:sz="4" w:space="0"/>
              <w:right w:val="nil"/>
            </w:tcBorders>
            <w:noWrap w:val="0"/>
            <w:vAlign w:val="center"/>
          </w:tcPr>
          <w:p>
            <w:pPr>
              <w:jc w:val="center"/>
              <w:rPr>
                <w:rFonts w:ascii="宋体" w:hAnsi="宋体"/>
                <w:bCs/>
                <w:sz w:val="18"/>
                <w:szCs w:val="18"/>
              </w:rPr>
            </w:pPr>
            <w:r>
              <w:rPr>
                <w:rFonts w:hint="eastAsia" w:ascii="宋体" w:hAnsi="宋体"/>
                <w:bCs/>
                <w:sz w:val="18"/>
                <w:szCs w:val="18"/>
              </w:rPr>
              <w:t>月末在外人数</w:t>
            </w: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136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107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107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1134"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99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99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1046"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nil"/>
              <w:right w:val="single" w:color="auto" w:sz="4" w:space="0"/>
            </w:tcBorders>
            <w:noWrap w:val="0"/>
            <w:vAlign w:val="center"/>
          </w:tcPr>
          <w:p>
            <w:pPr>
              <w:jc w:val="center"/>
              <w:rPr>
                <w:rFonts w:ascii="宋体" w:hAnsi="宋体"/>
                <w:bCs/>
                <w:sz w:val="18"/>
                <w:szCs w:val="18"/>
              </w:rPr>
            </w:pPr>
            <w:r>
              <w:rPr>
                <w:rFonts w:hint="eastAsia" w:ascii="宋体" w:hAnsi="宋体"/>
                <w:bCs/>
                <w:sz w:val="18"/>
                <w:szCs w:val="18"/>
              </w:rPr>
              <w:t>合   计</w:t>
            </w:r>
          </w:p>
        </w:tc>
        <w:tc>
          <w:tcPr>
            <w:tcW w:w="1362" w:type="dxa"/>
            <w:tcBorders>
              <w:left w:val="single" w:color="auto" w:sz="4" w:space="0"/>
              <w:bottom w:val="nil"/>
              <w:right w:val="nil"/>
            </w:tcBorders>
            <w:noWrap w:val="0"/>
            <w:vAlign w:val="top"/>
          </w:tcPr>
          <w:p>
            <w:pPr>
              <w:rPr>
                <w:rFonts w:ascii="宋体" w:hAnsi="宋体"/>
                <w:bCs/>
                <w:sz w:val="18"/>
                <w:szCs w:val="18"/>
              </w:rPr>
            </w:pPr>
          </w:p>
        </w:tc>
        <w:tc>
          <w:tcPr>
            <w:tcW w:w="1077" w:type="dxa"/>
            <w:tcBorders>
              <w:left w:val="nil"/>
              <w:bottom w:val="nil"/>
              <w:right w:val="nil"/>
            </w:tcBorders>
            <w:noWrap w:val="0"/>
            <w:vAlign w:val="top"/>
          </w:tcPr>
          <w:p>
            <w:pPr>
              <w:rPr>
                <w:rFonts w:ascii="宋体" w:hAnsi="宋体"/>
                <w:bCs/>
                <w:sz w:val="18"/>
                <w:szCs w:val="18"/>
              </w:rPr>
            </w:pPr>
          </w:p>
        </w:tc>
        <w:tc>
          <w:tcPr>
            <w:tcW w:w="1070" w:type="dxa"/>
            <w:tcBorders>
              <w:left w:val="nil"/>
              <w:bottom w:val="nil"/>
              <w:right w:val="nil"/>
            </w:tcBorders>
            <w:noWrap w:val="0"/>
            <w:vAlign w:val="top"/>
          </w:tcPr>
          <w:p>
            <w:pPr>
              <w:rPr>
                <w:rFonts w:ascii="宋体" w:hAnsi="宋体"/>
                <w:bCs/>
                <w:sz w:val="18"/>
                <w:szCs w:val="18"/>
              </w:rPr>
            </w:pPr>
          </w:p>
        </w:tc>
        <w:tc>
          <w:tcPr>
            <w:tcW w:w="1134" w:type="dxa"/>
            <w:tcBorders>
              <w:left w:val="nil"/>
              <w:bottom w:val="nil"/>
              <w:right w:val="nil"/>
            </w:tcBorders>
            <w:noWrap w:val="0"/>
            <w:vAlign w:val="top"/>
          </w:tcPr>
          <w:p>
            <w:pPr>
              <w:rPr>
                <w:rFonts w:ascii="宋体" w:hAnsi="宋体"/>
                <w:bCs/>
                <w:sz w:val="18"/>
                <w:szCs w:val="18"/>
              </w:rPr>
            </w:pPr>
          </w:p>
        </w:tc>
        <w:tc>
          <w:tcPr>
            <w:tcW w:w="992" w:type="dxa"/>
            <w:tcBorders>
              <w:left w:val="nil"/>
              <w:bottom w:val="nil"/>
              <w:right w:val="nil"/>
            </w:tcBorders>
            <w:noWrap w:val="0"/>
            <w:vAlign w:val="top"/>
          </w:tcPr>
          <w:p>
            <w:pPr>
              <w:rPr>
                <w:rFonts w:ascii="宋体" w:hAnsi="宋体"/>
                <w:bCs/>
                <w:sz w:val="18"/>
                <w:szCs w:val="18"/>
              </w:rPr>
            </w:pPr>
          </w:p>
        </w:tc>
        <w:tc>
          <w:tcPr>
            <w:tcW w:w="992" w:type="dxa"/>
            <w:tcBorders>
              <w:left w:val="nil"/>
              <w:bottom w:val="nil"/>
              <w:right w:val="nil"/>
            </w:tcBorders>
            <w:noWrap w:val="0"/>
            <w:vAlign w:val="top"/>
          </w:tcPr>
          <w:p>
            <w:pPr>
              <w:rPr>
                <w:rFonts w:ascii="宋体" w:hAnsi="宋体"/>
                <w:bCs/>
                <w:sz w:val="18"/>
                <w:szCs w:val="18"/>
              </w:rPr>
            </w:pPr>
          </w:p>
        </w:tc>
        <w:tc>
          <w:tcPr>
            <w:tcW w:w="1046"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XX国家（地区）</w:t>
            </w:r>
          </w:p>
        </w:tc>
        <w:tc>
          <w:tcPr>
            <w:tcW w:w="1362" w:type="dxa"/>
            <w:tcBorders>
              <w:top w:val="nil"/>
              <w:left w:val="single" w:color="auto" w:sz="4" w:space="0"/>
              <w:bottom w:val="nil"/>
              <w:right w:val="nil"/>
            </w:tcBorders>
            <w:noWrap w:val="0"/>
            <w:vAlign w:val="top"/>
          </w:tcPr>
          <w:p>
            <w:pPr>
              <w:rPr>
                <w:rFonts w:ascii="宋体" w:hAnsi="宋体"/>
                <w:bCs/>
                <w:sz w:val="18"/>
                <w:szCs w:val="18"/>
              </w:rPr>
            </w:pPr>
          </w:p>
        </w:tc>
        <w:tc>
          <w:tcPr>
            <w:tcW w:w="1077" w:type="dxa"/>
            <w:tcBorders>
              <w:top w:val="nil"/>
              <w:left w:val="nil"/>
              <w:bottom w:val="nil"/>
              <w:right w:val="nil"/>
            </w:tcBorders>
            <w:noWrap w:val="0"/>
            <w:vAlign w:val="top"/>
          </w:tcPr>
          <w:p>
            <w:pPr>
              <w:rPr>
                <w:rFonts w:ascii="宋体" w:hAnsi="宋体"/>
                <w:bCs/>
                <w:sz w:val="18"/>
                <w:szCs w:val="18"/>
              </w:rPr>
            </w:pPr>
          </w:p>
        </w:tc>
        <w:tc>
          <w:tcPr>
            <w:tcW w:w="107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046"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noWrap w:val="0"/>
            <w:vAlign w:val="top"/>
          </w:tcPr>
          <w:p>
            <w:pPr>
              <w:ind w:firstLine="180" w:firstLineChars="100"/>
              <w:rPr>
                <w:rFonts w:ascii="宋体" w:hAnsi="宋体"/>
                <w:bCs/>
                <w:sz w:val="18"/>
                <w:szCs w:val="18"/>
              </w:rPr>
            </w:pPr>
            <w:r>
              <w:rPr>
                <w:rFonts w:hint="eastAsia" w:ascii="宋体" w:hAnsi="宋体"/>
                <w:bCs/>
                <w:sz w:val="18"/>
                <w:szCs w:val="18"/>
              </w:rPr>
              <w:t>XX项目</w:t>
            </w:r>
          </w:p>
        </w:tc>
        <w:tc>
          <w:tcPr>
            <w:tcW w:w="1362" w:type="dxa"/>
            <w:tcBorders>
              <w:top w:val="nil"/>
              <w:left w:val="single" w:color="auto" w:sz="4" w:space="0"/>
              <w:bottom w:val="nil"/>
              <w:right w:val="nil"/>
            </w:tcBorders>
            <w:noWrap w:val="0"/>
            <w:vAlign w:val="top"/>
          </w:tcPr>
          <w:p>
            <w:pPr>
              <w:rPr>
                <w:rFonts w:ascii="宋体" w:hAnsi="宋体"/>
                <w:bCs/>
                <w:sz w:val="18"/>
                <w:szCs w:val="18"/>
              </w:rPr>
            </w:pPr>
          </w:p>
        </w:tc>
        <w:tc>
          <w:tcPr>
            <w:tcW w:w="1077" w:type="dxa"/>
            <w:tcBorders>
              <w:top w:val="nil"/>
              <w:left w:val="nil"/>
              <w:bottom w:val="nil"/>
              <w:right w:val="nil"/>
            </w:tcBorders>
            <w:noWrap w:val="0"/>
            <w:vAlign w:val="top"/>
          </w:tcPr>
          <w:p>
            <w:pPr>
              <w:rPr>
                <w:rFonts w:ascii="宋体" w:hAnsi="宋体"/>
                <w:bCs/>
                <w:sz w:val="18"/>
                <w:szCs w:val="18"/>
              </w:rPr>
            </w:pPr>
          </w:p>
        </w:tc>
        <w:tc>
          <w:tcPr>
            <w:tcW w:w="107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046"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noWrap w:val="0"/>
            <w:vAlign w:val="top"/>
          </w:tcPr>
          <w:p>
            <w:pPr>
              <w:ind w:firstLine="360" w:firstLineChars="200"/>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62" w:type="dxa"/>
            <w:tcBorders>
              <w:top w:val="nil"/>
              <w:left w:val="single" w:color="auto" w:sz="4" w:space="0"/>
              <w:bottom w:val="nil"/>
              <w:right w:val="nil"/>
            </w:tcBorders>
            <w:noWrap w:val="0"/>
            <w:vAlign w:val="top"/>
          </w:tcPr>
          <w:p>
            <w:pPr>
              <w:rPr>
                <w:rFonts w:ascii="宋体" w:hAnsi="宋体"/>
                <w:bCs/>
                <w:sz w:val="18"/>
                <w:szCs w:val="18"/>
              </w:rPr>
            </w:pPr>
          </w:p>
        </w:tc>
        <w:tc>
          <w:tcPr>
            <w:tcW w:w="1077" w:type="dxa"/>
            <w:tcBorders>
              <w:top w:val="nil"/>
              <w:left w:val="nil"/>
              <w:bottom w:val="nil"/>
              <w:right w:val="nil"/>
            </w:tcBorders>
            <w:noWrap w:val="0"/>
            <w:vAlign w:val="top"/>
          </w:tcPr>
          <w:p>
            <w:pPr>
              <w:rPr>
                <w:rFonts w:ascii="宋体" w:hAnsi="宋体"/>
                <w:bCs/>
                <w:sz w:val="18"/>
                <w:szCs w:val="18"/>
              </w:rPr>
            </w:pPr>
          </w:p>
        </w:tc>
        <w:tc>
          <w:tcPr>
            <w:tcW w:w="107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046"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right w:val="single" w:color="auto" w:sz="4" w:space="0"/>
            </w:tcBorders>
            <w:noWrap w:val="0"/>
            <w:vAlign w:val="top"/>
          </w:tcPr>
          <w:p>
            <w:pPr>
              <w:ind w:firstLine="630" w:firstLineChars="350"/>
              <w:rPr>
                <w:rFonts w:ascii="宋体" w:hAnsi="宋体"/>
                <w:bCs/>
                <w:sz w:val="18"/>
                <w:szCs w:val="18"/>
              </w:rPr>
            </w:pPr>
            <w:r>
              <w:rPr>
                <w:rFonts w:ascii="宋体" w:hAnsi="宋体"/>
                <w:bCs/>
                <w:sz w:val="18"/>
                <w:szCs w:val="18"/>
              </w:rPr>
              <w:t>•</w:t>
            </w:r>
          </w:p>
        </w:tc>
        <w:tc>
          <w:tcPr>
            <w:tcW w:w="1362" w:type="dxa"/>
            <w:tcBorders>
              <w:top w:val="nil"/>
              <w:left w:val="single" w:color="auto" w:sz="4" w:space="0"/>
              <w:right w:val="nil"/>
            </w:tcBorders>
            <w:noWrap w:val="0"/>
            <w:vAlign w:val="top"/>
          </w:tcPr>
          <w:p>
            <w:pPr>
              <w:rPr>
                <w:rFonts w:ascii="宋体" w:hAnsi="宋体"/>
                <w:bCs/>
                <w:sz w:val="18"/>
                <w:szCs w:val="18"/>
              </w:rPr>
            </w:pPr>
          </w:p>
        </w:tc>
        <w:tc>
          <w:tcPr>
            <w:tcW w:w="1077" w:type="dxa"/>
            <w:tcBorders>
              <w:top w:val="nil"/>
              <w:left w:val="nil"/>
              <w:right w:val="nil"/>
            </w:tcBorders>
            <w:noWrap w:val="0"/>
            <w:vAlign w:val="top"/>
          </w:tcPr>
          <w:p>
            <w:pPr>
              <w:rPr>
                <w:rFonts w:ascii="宋体" w:hAnsi="宋体"/>
                <w:bCs/>
                <w:sz w:val="18"/>
                <w:szCs w:val="18"/>
              </w:rPr>
            </w:pPr>
          </w:p>
        </w:tc>
        <w:tc>
          <w:tcPr>
            <w:tcW w:w="1070" w:type="dxa"/>
            <w:tcBorders>
              <w:top w:val="nil"/>
              <w:left w:val="nil"/>
              <w:right w:val="nil"/>
            </w:tcBorders>
            <w:noWrap w:val="0"/>
            <w:vAlign w:val="top"/>
          </w:tcPr>
          <w:p>
            <w:pPr>
              <w:rPr>
                <w:rFonts w:ascii="宋体" w:hAnsi="宋体"/>
                <w:bCs/>
                <w:sz w:val="18"/>
                <w:szCs w:val="18"/>
              </w:rPr>
            </w:pPr>
          </w:p>
        </w:tc>
        <w:tc>
          <w:tcPr>
            <w:tcW w:w="1134" w:type="dxa"/>
            <w:tcBorders>
              <w:top w:val="nil"/>
              <w:left w:val="nil"/>
              <w:right w:val="nil"/>
            </w:tcBorders>
            <w:noWrap w:val="0"/>
            <w:vAlign w:val="top"/>
          </w:tcPr>
          <w:p>
            <w:pPr>
              <w:rPr>
                <w:rFonts w:ascii="宋体" w:hAnsi="宋体"/>
                <w:bCs/>
                <w:sz w:val="18"/>
                <w:szCs w:val="18"/>
              </w:rPr>
            </w:pPr>
          </w:p>
        </w:tc>
        <w:tc>
          <w:tcPr>
            <w:tcW w:w="992" w:type="dxa"/>
            <w:tcBorders>
              <w:top w:val="nil"/>
              <w:left w:val="nil"/>
              <w:right w:val="nil"/>
            </w:tcBorders>
            <w:noWrap w:val="0"/>
            <w:vAlign w:val="top"/>
          </w:tcPr>
          <w:p>
            <w:pPr>
              <w:rPr>
                <w:rFonts w:ascii="宋体" w:hAnsi="宋体"/>
                <w:bCs/>
                <w:sz w:val="18"/>
                <w:szCs w:val="18"/>
              </w:rPr>
            </w:pPr>
          </w:p>
        </w:tc>
        <w:tc>
          <w:tcPr>
            <w:tcW w:w="992" w:type="dxa"/>
            <w:tcBorders>
              <w:top w:val="nil"/>
              <w:left w:val="nil"/>
              <w:right w:val="nil"/>
            </w:tcBorders>
            <w:noWrap w:val="0"/>
            <w:vAlign w:val="top"/>
          </w:tcPr>
          <w:p>
            <w:pPr>
              <w:rPr>
                <w:rFonts w:ascii="宋体" w:hAnsi="宋体"/>
                <w:bCs/>
                <w:sz w:val="18"/>
                <w:szCs w:val="18"/>
              </w:rPr>
            </w:pPr>
          </w:p>
        </w:tc>
        <w:tc>
          <w:tcPr>
            <w:tcW w:w="1046"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r>
        <w:rPr>
          <w:rFonts w:hint="eastAsia" w:ascii="宋体" w:hAnsi="宋体"/>
          <w:bCs/>
          <w:sz w:val="18"/>
          <w:szCs w:val="18"/>
        </w:rPr>
        <w:t>说明：1、本表综合反映报告月份企业新签电力工程建设类项目的基本情况，由与国（境）外业主签订对外电力工程建设类承包工程合同的企业填报。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2、本表由企业于月后10日内通过网络传输报送。</w:t>
      </w:r>
    </w:p>
    <w:p>
      <w:pPr>
        <w:widowControl/>
        <w:ind w:firstLine="540" w:firstLineChars="300"/>
        <w:jc w:val="left"/>
        <w:rPr>
          <w:rFonts w:ascii="宋体" w:hAnsi="宋体"/>
          <w:bCs/>
          <w:sz w:val="18"/>
          <w:szCs w:val="18"/>
        </w:rPr>
      </w:pPr>
      <w:r>
        <w:rPr>
          <w:rFonts w:hint="eastAsia" w:ascii="宋体" w:hAnsi="宋体"/>
          <w:bCs/>
          <w:sz w:val="18"/>
          <w:szCs w:val="18"/>
        </w:rPr>
        <w:t xml:space="preserve">3、电力工程建设项目分类见附录（一）。 </w:t>
      </w:r>
    </w:p>
    <w:p>
      <w:pPr>
        <w:widowControl/>
        <w:ind w:firstLine="588" w:firstLineChars="30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spacing w:before="100" w:beforeAutospacing="1" w:after="100" w:afterAutospacing="1" w:line="384" w:lineRule="auto"/>
        <w:ind w:firstLine="360"/>
        <w:jc w:val="center"/>
        <w:rPr>
          <w:rFonts w:ascii="宋体" w:hAnsi="宋体" w:cs="宋体"/>
          <w:b/>
          <w:kern w:val="0"/>
          <w:sz w:val="32"/>
          <w:szCs w:val="32"/>
        </w:rPr>
      </w:pPr>
    </w:p>
    <w:p>
      <w:pPr>
        <w:keepNext w:val="0"/>
        <w:keepLines w:val="0"/>
        <w:pageBreakBefore w:val="0"/>
        <w:kinsoku/>
        <w:wordWrap/>
        <w:overflowPunct/>
        <w:topLinePunct w:val="0"/>
        <w:autoSpaceDE/>
        <w:autoSpaceDN/>
        <w:bidi w:val="0"/>
        <w:adjustRightInd w:val="0"/>
        <w:snapToGrid w:val="0"/>
        <w:spacing w:beforeAutospacing="0"/>
        <w:jc w:val="center"/>
        <w:textAlignment w:val="auto"/>
        <w:rPr>
          <w:rFonts w:ascii="黑体" w:eastAsia="黑体"/>
          <w:sz w:val="32"/>
          <w:szCs w:val="32"/>
        </w:rPr>
      </w:pPr>
      <w:r>
        <w:rPr>
          <w:rFonts w:ascii="宋体" w:hAnsi="宋体" w:cs="宋体"/>
          <w:b/>
          <w:kern w:val="0"/>
          <w:sz w:val="32"/>
          <w:szCs w:val="32"/>
        </w:rPr>
        <w:br w:type="page"/>
      </w:r>
      <w:r>
        <w:rPr>
          <w:rFonts w:hint="eastAsia" w:ascii="黑体" w:eastAsia="黑体"/>
          <w:sz w:val="32"/>
          <w:szCs w:val="32"/>
        </w:rPr>
        <w:t>四、主要指标解释</w:t>
      </w:r>
    </w:p>
    <w:p>
      <w:pPr>
        <w:keepNext w:val="0"/>
        <w:keepLines w:val="0"/>
        <w:pageBreakBefore w:val="0"/>
        <w:widowControl/>
        <w:kinsoku/>
        <w:wordWrap/>
        <w:overflowPunct/>
        <w:topLinePunct w:val="0"/>
        <w:autoSpaceDE/>
        <w:autoSpaceDN/>
        <w:bidi w:val="0"/>
        <w:adjustRightInd w:val="0"/>
        <w:snapToGrid w:val="0"/>
        <w:spacing w:beforeAutospacing="0" w:after="100" w:afterAutospacing="1"/>
        <w:ind w:firstLine="360"/>
        <w:jc w:val="left"/>
        <w:textAlignment w:val="auto"/>
        <w:rPr>
          <w:rFonts w:ascii="宋体" w:hAnsi="宋体" w:cs="宋体"/>
          <w:bCs/>
          <w:kern w:val="0"/>
          <w:szCs w:val="21"/>
        </w:rPr>
      </w:pPr>
      <w:r>
        <w:rPr>
          <w:rFonts w:hint="eastAsia" w:ascii="宋体" w:hAnsi="宋体" w:cs="宋体"/>
          <w:b/>
          <w:kern w:val="0"/>
          <w:szCs w:val="21"/>
        </w:rPr>
        <w:t xml:space="preserve"> 1、</w:t>
      </w:r>
      <w:r>
        <w:rPr>
          <w:rFonts w:hint="eastAsia" w:ascii="宋体" w:hAnsi="宋体" w:cs="宋体"/>
          <w:b/>
          <w:bCs/>
          <w:kern w:val="0"/>
          <w:szCs w:val="21"/>
        </w:rPr>
        <w:t>对外承包工程的界定：</w:t>
      </w:r>
      <w:r>
        <w:rPr>
          <w:rFonts w:hint="eastAsia" w:ascii="宋体" w:hAnsi="宋体" w:cs="宋体"/>
          <w:bCs/>
          <w:kern w:val="0"/>
          <w:szCs w:val="21"/>
        </w:rPr>
        <w:t xml:space="preserve">根据《对外承包工程管理条例》，对外承包工程是指中国的企业或者其他单位承包境外建设工程项目的活动。 </w:t>
      </w:r>
    </w:p>
    <w:p>
      <w:pPr>
        <w:adjustRightInd w:val="0"/>
        <w:snapToGrid w:val="0"/>
        <w:spacing w:before="100" w:beforeAutospacing="1" w:after="100" w:afterAutospacing="1"/>
        <w:ind w:firstLine="415" w:firstLineChars="198"/>
        <w:jc w:val="left"/>
        <w:rPr>
          <w:rFonts w:ascii="宋体" w:hAnsi="宋体" w:cs="宋体"/>
          <w:bCs/>
          <w:kern w:val="0"/>
          <w:szCs w:val="21"/>
        </w:rPr>
      </w:pPr>
      <w:r>
        <w:rPr>
          <w:rFonts w:hint="eastAsia" w:ascii="宋体" w:hAnsi="宋体" w:cs="宋体"/>
          <w:bCs/>
          <w:kern w:val="0"/>
          <w:szCs w:val="21"/>
        </w:rPr>
        <w:t xml:space="preserve">对外承包工程项目分为十一大类：一般建筑项目、工业建设项目、制造加工设施建设项目、水利建设项目、废水（物）处理项目、交通运输建设项目、危险品处理项目、电力工程建设项目、石油化工项目、通讯工程项目、其他。各小类见附录（一）。  </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b/>
          <w:kern w:val="0"/>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adjustRightInd w:val="0"/>
        <w:snapToGrid w:val="0"/>
        <w:spacing w:before="100" w:beforeAutospacing="1" w:after="100" w:afterAutospacing="1"/>
        <w:ind w:firstLine="415" w:firstLineChars="198"/>
        <w:jc w:val="left"/>
        <w:rPr>
          <w:rFonts w:ascii="Arial" w:hAnsi="Arial" w:cs="Arial"/>
          <w:szCs w:val="21"/>
        </w:rPr>
      </w:pPr>
      <w:r>
        <w:rPr>
          <w:rFonts w:hint="eastAsia" w:ascii="宋体" w:hAnsi="宋体" w:cs="宋体"/>
          <w:bCs/>
          <w:kern w:val="0"/>
          <w:szCs w:val="21"/>
        </w:rPr>
        <w:t>已经领取了统一社会信用代码的法人单位和产业活动单位必须填写统一社会信用代码。在填写时，要按照《营业执照》（证书）上的统一社会信用代码填写。</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cs="宋体"/>
          <w:b/>
          <w:kern w:val="0"/>
          <w:szCs w:val="21"/>
        </w:rPr>
        <w:t>3、企业性质：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r>
        <w:rPr>
          <w:rFonts w:hint="eastAsia" w:ascii="宋体" w:hAnsi="宋体" w:cs="宋体"/>
          <w:bCs/>
          <w:kern w:val="0"/>
          <w:szCs w:val="21"/>
        </w:rPr>
        <w:t xml:space="preserve">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4、新签合同额的界定：</w:t>
      </w:r>
      <w:r>
        <w:rPr>
          <w:rFonts w:hint="eastAsia" w:ascii="宋体" w:hAnsi="宋体" w:cs="宋体"/>
          <w:bCs/>
          <w:kern w:val="0"/>
          <w:szCs w:val="21"/>
        </w:rPr>
        <w:t xml:space="preserve">指企业在报告期内签订的合法有效的对外承包工程项目合同的金额。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（1）对外承包工程项目新签合同额按企业与国（境）外业主签订的合同文本所规定的金额统计。</w:t>
      </w:r>
    </w:p>
    <w:p>
      <w:pPr>
        <w:pStyle w:val="3"/>
        <w:snapToGrid w:val="0"/>
        <w:spacing w:before="100" w:beforeAutospacing="1" w:after="100" w:afterAutospacing="1" w:line="240" w:lineRule="exact"/>
        <w:ind w:left="0" w:leftChars="0" w:firstLine="420" w:firstLineChars="200"/>
        <w:rPr>
          <w:rFonts w:ascii="宋体"/>
          <w:szCs w:val="21"/>
        </w:rPr>
      </w:pPr>
      <w:r>
        <w:rPr>
          <w:rFonts w:hint="eastAsia" w:ascii="宋体"/>
          <w:szCs w:val="21"/>
        </w:rPr>
        <w:t xml:space="preserve">（2）企业必须根据项目的合同文本或其他合法有效文件填报新签合同额，并以合同文本规定的正式生效日期为统计日期。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新签合同额以</w:t>
      </w:r>
      <w:r>
        <w:rPr>
          <w:rFonts w:hint="eastAsia" w:ascii="宋体" w:hAnsi="宋体" w:cs="宋体"/>
          <w:bCs/>
          <w:kern w:val="0"/>
          <w:szCs w:val="21"/>
          <w:lang w:eastAsia="zh-CN"/>
        </w:rPr>
        <w:t>万</w:t>
      </w:r>
      <w:r>
        <w:rPr>
          <w:rFonts w:hint="eastAsia" w:ascii="宋体" w:hAnsi="宋体" w:cs="宋体"/>
          <w:bCs/>
          <w:kern w:val="0"/>
          <w:szCs w:val="21"/>
        </w:rPr>
        <w:t xml:space="preserve">美元作为计算单位。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cs="宋体"/>
          <w:bCs/>
          <w:kern w:val="0"/>
          <w:szCs w:val="21"/>
        </w:rPr>
        <w:t xml:space="preserve">项目合同以非美元计价的，若合同规定了对美元折算率，其新签合同额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（4）企业与国内或国（境）外企业联合中标的项目，其新签合同额按其实际实施的部分计算统计。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（5）企业与国（境）外业主签订项目合同，但施工地点在第三国的，则以施工地点为国别统计该项目。</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（6）以实物形式支付的项目新签合同额按合同中所列实物的数量，乘以报告期内拟销售地市场价格并折合美元计算统计。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（7）当年签订的合同发生变更，应根据业务部门的变更通知，在本年度下一报告期调整合同金额，并加以说明。 以往年度的合同发生变更，在本年度和历史统计资料中均不予调整。</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（8）报告期内对往年合同签订补充合同时，视同新签合同。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（9）企业之间以总包、分包方式实施的对外承包工程项目，其新签合同额由与国（境）外业主签订合同的企业统计。 </w:t>
      </w:r>
    </w:p>
    <w:p>
      <w:pPr>
        <w:widowControl/>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5、完成营业额的界定：</w:t>
      </w:r>
      <w:r>
        <w:rPr>
          <w:rFonts w:hint="eastAsia" w:ascii="宋体" w:hAnsi="宋体" w:cs="宋体"/>
          <w:bCs/>
          <w:kern w:val="0"/>
          <w:szCs w:val="21"/>
        </w:rPr>
        <w:t xml:space="preserve">指企业在报告期内完成的以货币形式表现的工作量。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（1）</w:t>
      </w:r>
      <w:r>
        <w:rPr>
          <w:rFonts w:hint="eastAsia" w:ascii="宋体" w:hAnsi="宋体" w:cs="宋体"/>
          <w:bCs/>
          <w:kern w:val="0"/>
          <w:szCs w:val="21"/>
        </w:rPr>
        <w:t xml:space="preserve">对外承包工程项目完成营业额按承包方编制的经现场监理工程师或项目总监审核签字的工程进度证明等计算统计。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（2）</w:t>
      </w:r>
      <w:r>
        <w:rPr>
          <w:rFonts w:hint="eastAsia" w:ascii="宋体" w:hAnsi="宋体" w:cs="宋体"/>
          <w:bCs/>
          <w:kern w:val="0"/>
          <w:szCs w:val="21"/>
        </w:rPr>
        <w:t xml:space="preserve">企业必须根据提交给业主据以结算项目款项或反映报告期项目工作量的有效凭证或单据填报完成营业额。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完成营业额以</w:t>
      </w:r>
      <w:r>
        <w:rPr>
          <w:rFonts w:hint="eastAsia" w:ascii="宋体" w:hAnsi="宋体" w:cs="宋体"/>
          <w:bCs/>
          <w:kern w:val="0"/>
          <w:szCs w:val="21"/>
          <w:lang w:eastAsia="zh-CN"/>
        </w:rPr>
        <w:t>万</w:t>
      </w:r>
      <w:r>
        <w:rPr>
          <w:rFonts w:hint="eastAsia" w:ascii="宋体" w:hAnsi="宋体" w:cs="宋体"/>
          <w:bCs/>
          <w:kern w:val="0"/>
          <w:szCs w:val="21"/>
        </w:rPr>
        <w:t>美元作为计算单位。</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cs="宋体"/>
          <w:bCs/>
          <w:kern w:val="0"/>
          <w:szCs w:val="21"/>
        </w:rPr>
        <w:t xml:space="preserve">项目合同以非美元结算的，若合同规定了对美元折算率，其完成营业额按合同中规定的折算率折合美元计算统计；若合同中未规定对美元折算率，须按报告期第一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bCs/>
          <w:szCs w:val="21"/>
        </w:rPr>
        <w:t>（4）</w:t>
      </w:r>
      <w:r>
        <w:rPr>
          <w:rFonts w:hint="eastAsia" w:ascii="宋体" w:hAnsi="宋体" w:cs="宋体"/>
          <w:bCs/>
          <w:kern w:val="0"/>
          <w:szCs w:val="21"/>
        </w:rPr>
        <w:t xml:space="preserve">企业与国内或国（境）外企业联合中标的项目，其完成营业额按其实际完成的工作量统计。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（5）</w:t>
      </w:r>
      <w:r>
        <w:rPr>
          <w:rFonts w:hint="eastAsia" w:ascii="宋体" w:hAnsi="宋体" w:cs="宋体"/>
          <w:bCs/>
          <w:kern w:val="0"/>
          <w:szCs w:val="21"/>
        </w:rPr>
        <w:t>为避免对外承包工程营业额重报，企业集团</w:t>
      </w:r>
      <w:r>
        <w:rPr>
          <w:rFonts w:hint="eastAsia" w:ascii="宋体" w:hAnsi="宋体" w:cs="宋体"/>
          <w:bCs/>
          <w:kern w:val="0"/>
          <w:szCs w:val="21"/>
          <w:lang w:eastAsia="zh-CN"/>
        </w:rPr>
        <w:t>（</w:t>
      </w:r>
      <w:r>
        <w:rPr>
          <w:rFonts w:hint="eastAsia" w:ascii="宋体" w:hAnsi="宋体" w:cs="宋体"/>
          <w:bCs/>
          <w:kern w:val="0"/>
          <w:szCs w:val="21"/>
        </w:rPr>
        <w:t>公司</w:t>
      </w:r>
      <w:r>
        <w:rPr>
          <w:rFonts w:hint="eastAsia" w:ascii="宋体" w:hAnsi="宋体" w:cs="宋体"/>
          <w:bCs/>
          <w:kern w:val="0"/>
          <w:szCs w:val="21"/>
          <w:lang w:eastAsia="zh-CN"/>
        </w:rPr>
        <w:t>）与下属或成员企业</w:t>
      </w:r>
      <w:r>
        <w:rPr>
          <w:rFonts w:hint="eastAsia" w:ascii="宋体" w:hAnsi="宋体" w:cs="宋体"/>
          <w:bCs/>
          <w:kern w:val="0"/>
          <w:szCs w:val="21"/>
        </w:rPr>
        <w:t xml:space="preserve">间以委托协议（合同）方式实施的工程项目，营业额由对外签订承包工程合同的企业填报。其他情况按照谁施工谁填报原则报送。 </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6、对外设计咨询：</w:t>
      </w:r>
      <w:r>
        <w:rPr>
          <w:rStyle w:val="9"/>
          <w:rFonts w:hint="eastAsia" w:ascii="宋体" w:hAnsi="宋体" w:eastAsia="宋体" w:cs="宋体"/>
          <w:iCs/>
          <w:color w:val="auto"/>
          <w:kern w:val="0"/>
          <w:sz w:val="21"/>
          <w:szCs w:val="21"/>
          <w:lang w:bidi="ar"/>
        </w:rPr>
        <w:t>是指中国的企业或者其他单位为境外投资建设项目提供咨询和管理服务，开展相关规划、咨询、勘察、设计、造价、监理、项目管理和运营维护等活动，是对外承包工程的重要组成部分。</w:t>
      </w:r>
      <w:r>
        <w:rPr>
          <w:rFonts w:hint="eastAsia" w:ascii="宋体" w:hAnsi="宋体" w:eastAsia="宋体" w:cs="宋体"/>
          <w:kern w:val="0"/>
          <w:szCs w:val="21"/>
        </w:rPr>
        <w:t>包括</w:t>
      </w:r>
      <w:r>
        <w:rPr>
          <w:rFonts w:hint="eastAsia" w:ascii="宋体" w:hAnsi="宋体" w:cs="宋体"/>
          <w:kern w:val="0"/>
          <w:szCs w:val="21"/>
        </w:rPr>
        <w:t>承担地形地貌测绘，地质资源普查与勘探，建设区域规划，工程设计、生产工艺、技术资料和工程技术咨询，工程项目的可行性考察、研究和评估，工程监理，技术指导等内容。</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7、项目实施地点：</w:t>
      </w:r>
      <w:r>
        <w:rPr>
          <w:rFonts w:hint="eastAsia" w:ascii="宋体" w:hAnsi="宋体" w:cs="宋体"/>
          <w:kern w:val="0"/>
          <w:szCs w:val="21"/>
        </w:rPr>
        <w:t>指实施对外承包工程项目所在国家（地区）的具体省份（州、地区或离项目实施地点最近的城市）。</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8、签约日期：</w:t>
      </w:r>
      <w:r>
        <w:rPr>
          <w:rFonts w:hint="eastAsia" w:ascii="宋体" w:hAnsi="宋体" w:cs="宋体"/>
          <w:kern w:val="0"/>
          <w:szCs w:val="21"/>
        </w:rPr>
        <w:t>指对外承包工程项目的签约日期。</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9、对外签约单位：</w:t>
      </w:r>
      <w:r>
        <w:rPr>
          <w:rFonts w:hint="eastAsia" w:ascii="宋体" w:hAnsi="宋体" w:cs="宋体"/>
          <w:kern w:val="0"/>
          <w:szCs w:val="21"/>
        </w:rPr>
        <w:t>指与国（境）外业主签订合同的企业。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10、项目实施单位：</w:t>
      </w:r>
      <w:r>
        <w:rPr>
          <w:rFonts w:hint="eastAsia" w:ascii="宋体" w:hAnsi="宋体" w:cs="宋体"/>
          <w:kern w:val="0"/>
          <w:szCs w:val="21"/>
        </w:rPr>
        <w:t>指具体实施对外承包工程项目的企业。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11、业主：</w:t>
      </w:r>
      <w:r>
        <w:rPr>
          <w:rFonts w:hint="eastAsia" w:ascii="宋体" w:hAnsi="宋体" w:cs="宋体"/>
          <w:kern w:val="0"/>
          <w:szCs w:val="21"/>
        </w:rPr>
        <w:t>指与企业签订对外承包工程项目合同的项目发起人。</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12、外派人数</w:t>
      </w:r>
      <w:r>
        <w:rPr>
          <w:rFonts w:hint="eastAsia" w:ascii="宋体" w:hAnsi="宋体" w:cs="宋体"/>
          <w:b/>
          <w:bCs/>
          <w:kern w:val="0"/>
          <w:szCs w:val="21"/>
        </w:rPr>
        <w:t>：</w:t>
      </w:r>
      <w:r>
        <w:rPr>
          <w:rFonts w:hint="eastAsia" w:ascii="宋体" w:hAnsi="宋体" w:cs="宋体"/>
          <w:bCs/>
          <w:kern w:val="0"/>
          <w:szCs w:val="21"/>
        </w:rPr>
        <w:t xml:space="preserve">指企业在报告期内派往国（境）外执行对外承包工程项目的人数。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13、月末在外人数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指报告期末企业在国（境）外执行对外承包工程项目的人数。 </w:t>
      </w:r>
    </w:p>
    <w:p>
      <w:pPr>
        <w:widowControl/>
        <w:spacing w:before="100" w:beforeAutospacing="1" w:after="100" w:afterAutospacing="1"/>
        <w:ind w:firstLine="422" w:firstLineChars="200"/>
        <w:jc w:val="left"/>
        <w:rPr>
          <w:rFonts w:ascii="宋体" w:hAnsi="宋体"/>
          <w:bCs/>
          <w:sz w:val="18"/>
          <w:szCs w:val="18"/>
        </w:rPr>
      </w:pPr>
      <w:r>
        <w:rPr>
          <w:rFonts w:hint="eastAsia" w:ascii="宋体" w:hAnsi="宋体" w:cs="宋体"/>
          <w:b/>
          <w:kern w:val="0"/>
          <w:szCs w:val="21"/>
        </w:rPr>
        <w:t>14、</w:t>
      </w:r>
      <w:r>
        <w:rPr>
          <w:rFonts w:hint="eastAsia" w:ascii="宋体" w:hAnsi="宋体"/>
          <w:b/>
          <w:bCs/>
          <w:szCs w:val="21"/>
        </w:rPr>
        <w:t>月末雇用项目所在国人员数量</w:t>
      </w:r>
      <w:r>
        <w:rPr>
          <w:rFonts w:hint="eastAsia" w:ascii="宋体" w:hAnsi="宋体"/>
          <w:bCs/>
          <w:szCs w:val="21"/>
        </w:rPr>
        <w:t>：指报告期末企业在执行国（境）外工程项目中所雇用项目所在国各种劳务人员数量。包括项目的管理、施工、后勤人员等。</w:t>
      </w:r>
      <w:r>
        <w:rPr>
          <w:rFonts w:hint="eastAsia" w:ascii="宋体" w:hAnsi="宋体"/>
          <w:bCs/>
          <w:sz w:val="18"/>
          <w:szCs w:val="18"/>
        </w:rPr>
        <w:t xml:space="preserve"> </w:t>
      </w:r>
    </w:p>
    <w:p>
      <w:pPr>
        <w:widowControl/>
        <w:ind w:firstLine="422" w:firstLineChars="200"/>
        <w:rPr>
          <w:rFonts w:ascii="宋体" w:hAnsi="宋体"/>
          <w:bCs/>
          <w:sz w:val="18"/>
          <w:szCs w:val="18"/>
        </w:rPr>
      </w:pPr>
      <w:r>
        <w:rPr>
          <w:rFonts w:hint="eastAsia" w:ascii="宋体" w:hAnsi="宋体"/>
          <w:b/>
          <w:bCs/>
          <w:szCs w:val="21"/>
        </w:rPr>
        <w:t>15、月末雇用第三国人员数量：</w:t>
      </w:r>
      <w:r>
        <w:rPr>
          <w:rFonts w:hint="eastAsia" w:ascii="宋体" w:hAnsi="宋体"/>
          <w:bCs/>
          <w:szCs w:val="21"/>
        </w:rPr>
        <w:t>指报告期末企业在执行国（境）外工程项目中所雇用的扣除本国及项目所在国人员以外的各种人员数量。包括项目的管理、施工、后勤人员等。</w:t>
      </w:r>
    </w:p>
    <w:p>
      <w:pPr>
        <w:widowControl/>
        <w:spacing w:before="100" w:beforeAutospacing="1" w:after="100" w:afterAutospacing="1"/>
        <w:ind w:firstLine="422" w:firstLineChars="200"/>
        <w:jc w:val="left"/>
        <w:rPr>
          <w:rFonts w:ascii="宋体" w:hAnsi="宋体" w:cs="宋体"/>
          <w:b/>
          <w:bCs/>
          <w:kern w:val="0"/>
          <w:szCs w:val="21"/>
        </w:rPr>
      </w:pPr>
      <w:r>
        <w:rPr>
          <w:rFonts w:hint="eastAsia" w:ascii="宋体" w:hAnsi="宋体" w:cs="宋体"/>
          <w:b/>
          <w:bCs/>
          <w:kern w:val="0"/>
          <w:szCs w:val="21"/>
        </w:rPr>
        <w:t xml:space="preserve">16、派出人数、月末在外人数的统计原则： </w:t>
      </w:r>
    </w:p>
    <w:p>
      <w:pPr>
        <w:widowControl/>
        <w:adjustRightInd w:val="0"/>
        <w:snapToGrid w:val="0"/>
        <w:spacing w:before="100" w:beforeAutospacing="1" w:after="100" w:afterAutospacing="1"/>
        <w:ind w:firstLine="420" w:firstLineChars="200"/>
        <w:jc w:val="left"/>
        <w:rPr>
          <w:rFonts w:hint="eastAsia" w:ascii="宋体" w:hAnsi="宋体" w:eastAsia="宋体" w:cs="宋体"/>
          <w:bCs/>
          <w:kern w:val="0"/>
          <w:szCs w:val="21"/>
          <w:lang w:eastAsia="zh-CN"/>
        </w:rPr>
      </w:pPr>
      <w:r>
        <w:rPr>
          <w:rFonts w:hint="eastAsia" w:ascii="宋体" w:hAnsi="宋体"/>
          <w:bCs/>
          <w:szCs w:val="21"/>
        </w:rPr>
        <w:t>（1）外</w:t>
      </w:r>
      <w:r>
        <w:rPr>
          <w:rFonts w:hint="eastAsia" w:ascii="宋体" w:hAnsi="宋体" w:cs="宋体"/>
          <w:bCs/>
          <w:kern w:val="0"/>
          <w:szCs w:val="21"/>
        </w:rPr>
        <w:t>派人数、月末在外人数以人作为计算单位</w:t>
      </w:r>
      <w:r>
        <w:rPr>
          <w:rFonts w:hint="eastAsia" w:ascii="宋体" w:hAnsi="宋体" w:cs="宋体"/>
          <w:bCs/>
          <w:kern w:val="0"/>
          <w:szCs w:val="21"/>
          <w:lang w:eastAsia="zh-CN"/>
        </w:rPr>
        <w:t>，</w:t>
      </w:r>
      <w:r>
        <w:rPr>
          <w:rFonts w:hint="eastAsia" w:ascii="宋体" w:hAnsi="宋体" w:cs="宋体"/>
          <w:bCs/>
          <w:kern w:val="0"/>
          <w:szCs w:val="21"/>
        </w:rPr>
        <w:t>由统计该</w:t>
      </w:r>
      <w:r>
        <w:rPr>
          <w:rFonts w:hint="eastAsia" w:ascii="宋体" w:hAnsi="宋体" w:cs="宋体"/>
          <w:bCs/>
          <w:kern w:val="0"/>
          <w:szCs w:val="21"/>
          <w:lang w:eastAsia="zh-CN"/>
        </w:rPr>
        <w:t>对外承包工程</w:t>
      </w:r>
      <w:r>
        <w:rPr>
          <w:rFonts w:hint="eastAsia" w:ascii="宋体" w:hAnsi="宋体" w:cs="宋体"/>
          <w:bCs/>
          <w:kern w:val="0"/>
          <w:szCs w:val="21"/>
        </w:rPr>
        <w:t>项目完成营业额的企业</w:t>
      </w:r>
      <w:r>
        <w:rPr>
          <w:rFonts w:hint="eastAsia" w:ascii="宋体" w:hAnsi="宋体" w:cs="宋体"/>
          <w:bCs/>
          <w:kern w:val="0"/>
          <w:szCs w:val="21"/>
          <w:lang w:eastAsia="zh-CN"/>
        </w:rPr>
        <w:t>填报。</w:t>
      </w:r>
      <w:r>
        <w:rPr>
          <w:rFonts w:hint="eastAsia" w:ascii="宋体" w:hAnsi="宋体" w:cs="宋体"/>
          <w:bCs/>
          <w:kern w:val="0"/>
          <w:szCs w:val="21"/>
        </w:rPr>
        <w:t>企业之间以总包、分包方式实施的对外承包工程项目，其外派人数、月末在外人数由统计该项目完成营业额的企业</w:t>
      </w:r>
      <w:r>
        <w:rPr>
          <w:rFonts w:hint="eastAsia" w:ascii="宋体" w:hAnsi="宋体" w:cs="宋体"/>
          <w:bCs/>
          <w:kern w:val="0"/>
          <w:szCs w:val="21"/>
          <w:lang w:eastAsia="zh-CN"/>
        </w:rPr>
        <w:t>统一汇总报送</w:t>
      </w:r>
      <w:r>
        <w:rPr>
          <w:rFonts w:hint="eastAsia" w:ascii="宋体" w:hAnsi="宋体" w:cs="宋体"/>
          <w:bCs/>
          <w:kern w:val="0"/>
          <w:szCs w:val="21"/>
        </w:rPr>
        <w:t>。</w:t>
      </w:r>
    </w:p>
    <w:p>
      <w:pPr>
        <w:spacing w:before="100" w:beforeAutospacing="1" w:after="100" w:afterAutospacing="1"/>
        <w:ind w:firstLine="420" w:firstLineChars="200"/>
        <w:rPr>
          <w:rFonts w:ascii="宋体" w:hAnsi="宋体"/>
          <w:bCs/>
          <w:szCs w:val="21"/>
        </w:rPr>
      </w:pP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）本企业的境外</w:t>
      </w:r>
      <w:r>
        <w:rPr>
          <w:rFonts w:hint="eastAsia" w:ascii="宋体" w:hAnsi="宋体" w:cs="宋体"/>
          <w:bCs/>
          <w:kern w:val="0"/>
          <w:szCs w:val="21"/>
        </w:rPr>
        <w:t>企业与对外劳务合作企业</w:t>
      </w:r>
      <w:r>
        <w:rPr>
          <w:rFonts w:hint="eastAsia" w:ascii="宋体" w:hAnsi="宋体"/>
          <w:bCs/>
          <w:szCs w:val="21"/>
        </w:rPr>
        <w:t>签订劳务合作合同招用的人员不纳入承包工程外派人员、月末在外人数统计。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w:t>
      </w:r>
      <w:r>
        <w:rPr>
          <w:rFonts w:hint="eastAsia" w:ascii="宋体" w:hAnsi="宋体"/>
          <w:bCs/>
          <w:szCs w:val="21"/>
          <w:lang w:val="en-US" w:eastAsia="zh-CN"/>
        </w:rPr>
        <w:t>3</w:t>
      </w:r>
      <w:r>
        <w:rPr>
          <w:rFonts w:hint="eastAsia" w:ascii="宋体" w:hAnsi="宋体"/>
          <w:bCs/>
          <w:szCs w:val="21"/>
        </w:rPr>
        <w:t>）派往境外注册的承包工程项目公司、办事处、代表处的常驻人员不纳入承包工程外派人员、月末在外人数统计。</w:t>
      </w:r>
    </w:p>
    <w:p>
      <w:pPr>
        <w:widowControl/>
        <w:spacing w:before="312" w:beforeLines="100" w:after="312" w:afterLines="100"/>
        <w:ind w:firstLine="517" w:firstLineChars="245"/>
        <w:jc w:val="left"/>
        <w:rPr>
          <w:rFonts w:ascii="宋体" w:hAnsi="宋体" w:cs="宋体"/>
          <w:b/>
          <w:bCs/>
          <w:kern w:val="0"/>
          <w:szCs w:val="21"/>
        </w:rPr>
      </w:pPr>
      <w:r>
        <w:rPr>
          <w:rFonts w:hint="eastAsia" w:ascii="宋体" w:hAnsi="宋体" w:cs="宋体"/>
          <w:b/>
          <w:bCs/>
          <w:kern w:val="0"/>
          <w:szCs w:val="21"/>
        </w:rPr>
        <w:t>1</w:t>
      </w:r>
      <w:r>
        <w:rPr>
          <w:rFonts w:hint="eastAsia" w:ascii="宋体" w:hAnsi="宋体" w:cs="宋体"/>
          <w:b/>
          <w:bCs/>
          <w:kern w:val="0"/>
          <w:szCs w:val="21"/>
          <w:lang w:val="en-US" w:eastAsia="zh-CN"/>
        </w:rPr>
        <w:t>7</w:t>
      </w:r>
      <w:r>
        <w:rPr>
          <w:rFonts w:hint="eastAsia" w:ascii="宋体" w:hAnsi="宋体" w:cs="宋体"/>
          <w:b/>
          <w:bCs/>
          <w:kern w:val="0"/>
          <w:szCs w:val="21"/>
        </w:rPr>
        <w:t>、预计带动出口额：</w:t>
      </w:r>
      <w:r>
        <w:rPr>
          <w:rFonts w:hint="eastAsia" w:ascii="宋体" w:hAnsi="宋体" w:cs="宋体"/>
          <w:bCs/>
          <w:kern w:val="0"/>
          <w:szCs w:val="21"/>
        </w:rPr>
        <w:t>指企业通过签订、实施交通建设类、电力工程建设类项目拟带动我国各种设备、材料出口总额。</w:t>
      </w:r>
    </w:p>
    <w:p>
      <w:pPr>
        <w:spacing w:before="312" w:beforeLines="100" w:after="312" w:afterLines="100"/>
        <w:ind w:firstLine="525" w:firstLineChars="249"/>
        <w:rPr>
          <w:rFonts w:ascii="宋体" w:hAnsi="宋体"/>
          <w:bCs/>
          <w:szCs w:val="21"/>
        </w:rPr>
      </w:pPr>
      <w:r>
        <w:rPr>
          <w:rFonts w:hint="eastAsia" w:ascii="宋体" w:hAnsi="宋体"/>
          <w:b/>
          <w:bCs/>
          <w:szCs w:val="21"/>
        </w:rPr>
        <w:t>1</w:t>
      </w:r>
      <w:r>
        <w:rPr>
          <w:rFonts w:hint="eastAsia" w:ascii="宋体" w:hAnsi="宋体"/>
          <w:b/>
          <w:bCs/>
          <w:szCs w:val="21"/>
          <w:lang w:val="en-US" w:eastAsia="zh-CN"/>
        </w:rPr>
        <w:t>8</w:t>
      </w:r>
      <w:r>
        <w:rPr>
          <w:rFonts w:hint="eastAsia" w:ascii="宋体" w:hAnsi="宋体"/>
          <w:b/>
          <w:bCs/>
          <w:szCs w:val="21"/>
        </w:rPr>
        <w:t>、承包工程项目的资金来源</w:t>
      </w:r>
      <w:r>
        <w:rPr>
          <w:rFonts w:hint="eastAsia" w:ascii="宋体" w:hAnsi="宋体"/>
          <w:bCs/>
          <w:szCs w:val="21"/>
        </w:rPr>
        <w:t>：指企业承揽工程项目的工程款的主要来源，包括：业主自筹、项目所在国政府资金、国际金融机构拨款、援外优惠贷款、优惠出口买方信贷、国内商业性质出口买方信贷、国内出口卖方信贷、其他等。</w:t>
      </w:r>
    </w:p>
    <w:p>
      <w:pPr>
        <w:spacing w:before="312" w:beforeLines="100" w:after="312" w:afterLines="100"/>
        <w:rPr>
          <w:rFonts w:ascii="宋体" w:hAnsi="宋体"/>
          <w:bCs/>
          <w:szCs w:val="21"/>
        </w:rPr>
      </w:pPr>
      <w:r>
        <w:rPr>
          <w:rFonts w:hint="eastAsia" w:ascii="宋体" w:hAnsi="宋体"/>
          <w:bCs/>
          <w:szCs w:val="21"/>
        </w:rPr>
        <w:t xml:space="preserve">    </w:t>
      </w:r>
      <w:r>
        <w:rPr>
          <w:rFonts w:hint="eastAsia" w:ascii="宋体" w:hAnsi="宋体"/>
          <w:b/>
          <w:bCs/>
          <w:szCs w:val="21"/>
        </w:rPr>
        <w:t xml:space="preserve"> </w:t>
      </w:r>
      <w:r>
        <w:rPr>
          <w:rFonts w:hint="eastAsia" w:ascii="宋体" w:hAnsi="宋体"/>
          <w:b/>
          <w:bCs/>
          <w:szCs w:val="21"/>
          <w:lang w:val="en-US" w:eastAsia="zh-CN"/>
        </w:rPr>
        <w:t>19</w:t>
      </w:r>
      <w:r>
        <w:rPr>
          <w:rFonts w:hint="eastAsia" w:ascii="宋体" w:hAnsi="宋体"/>
          <w:b/>
          <w:bCs/>
          <w:szCs w:val="21"/>
        </w:rPr>
        <w:t>、承包工程项目承包方式：</w:t>
      </w:r>
      <w:r>
        <w:rPr>
          <w:rFonts w:hint="eastAsia" w:ascii="宋体" w:hAnsi="宋体"/>
          <w:szCs w:val="21"/>
        </w:rPr>
        <w:t>包括（1）传统承包方式，包括施工或总承包（含设计-建造、设计-采购-施工）；（2）融资模式，指承包商提供融资服务的承包、总承包（如设计-采购-施工+融资）；（3）投资模式，包括特许经营类、公私合营类；（4）其他，除上述三种模式以外的其他方式</w:t>
      </w:r>
      <w:r>
        <w:rPr>
          <w:rFonts w:hint="eastAsia" w:ascii="宋体" w:hAnsi="宋体"/>
          <w:bCs/>
          <w:szCs w:val="21"/>
        </w:rPr>
        <w:t>。</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rPr>
        <w:t>2</w:t>
      </w:r>
      <w:r>
        <w:rPr>
          <w:rFonts w:hint="eastAsia" w:ascii="宋体" w:hAnsi="宋体" w:cs="宋体"/>
          <w:b/>
          <w:bCs/>
          <w:kern w:val="0"/>
          <w:szCs w:val="21"/>
          <w:lang w:val="en-US" w:eastAsia="zh-CN"/>
        </w:rPr>
        <w:t>0</w:t>
      </w:r>
      <w:r>
        <w:rPr>
          <w:rFonts w:hint="eastAsia" w:ascii="宋体" w:hAnsi="宋体" w:cs="宋体"/>
          <w:b/>
          <w:bCs/>
          <w:kern w:val="0"/>
          <w:szCs w:val="21"/>
        </w:rPr>
        <w:t>、承包工程项目分类的确定：</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（1）如同一项目涉及两个或以上的项目大类，合同额可以根据合同文本进行拆分的，则分别进行分类项目统计。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（2）如同一项目涉及两个或以上的项目大类，合同额无法根据合同额进行拆分的，则按项目主要类别（即合同文本中合同额比重最大的）进行工程项目分类统计。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kern w:val="0"/>
          <w:szCs w:val="21"/>
        </w:rPr>
        <w:t>（3）与采矿业相关的地质勘察（含数据采集等）纳入“其他”工程项目类别进行统计。</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bCs/>
          <w:kern w:val="0"/>
          <w:szCs w:val="21"/>
        </w:rPr>
        <w:t>（4）</w:t>
      </w:r>
      <w:r>
        <w:rPr>
          <w:rFonts w:hint="eastAsia" w:ascii="宋体" w:hAnsi="宋体" w:cs="宋体"/>
          <w:kern w:val="0"/>
          <w:szCs w:val="21"/>
        </w:rPr>
        <w:t>矿山工程建筑（含坑道、隧道、井道的挖掘、搭建等）项目纳入“其他”工程项目类别进行统计。</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lang w:val="en-US" w:eastAsia="zh-CN"/>
        </w:rPr>
        <w:t>21</w:t>
      </w:r>
      <w:r>
        <w:rPr>
          <w:rFonts w:hint="eastAsia" w:ascii="宋体" w:hAnsi="宋体" w:cs="宋体"/>
          <w:b/>
          <w:bCs/>
          <w:kern w:val="0"/>
          <w:szCs w:val="21"/>
        </w:rPr>
        <w:t>、节能环保清洁类项目分类的确定：</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kern w:val="0"/>
          <w:szCs w:val="21"/>
        </w:rPr>
        <w:t>商务部根据国家统计局节能环保清洁产业统计分类（2021），结合目前对外承包工程项目分类标准形成对外承包节能环保清洁类项目分类。主要包括水利建设项目中的水处理、海水淡化厂(水资源循环利用）项目；废水（物）处理项目；危险品处理项目；电力工程建设中涉及核电、水电、太阳能发电、风电、生物质能相关项目的发电运营、工程施工与技术服务，以及传统能源清洁运营、工程施工与技术服务、智能电网输配电工程等。</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w:t>
      </w:r>
      <w:r>
        <w:rPr>
          <w:rFonts w:hint="eastAsia" w:ascii="宋体" w:hAnsi="宋体" w:cs="宋体"/>
          <w:b/>
          <w:bCs/>
          <w:kern w:val="0"/>
          <w:szCs w:val="21"/>
          <w:lang w:val="en-US" w:eastAsia="zh-CN"/>
        </w:rPr>
        <w:t>2</w:t>
      </w:r>
      <w:r>
        <w:rPr>
          <w:rFonts w:hint="eastAsia" w:ascii="宋体" w:hAnsi="宋体" w:cs="宋体"/>
          <w:b/>
          <w:bCs/>
          <w:kern w:val="0"/>
          <w:szCs w:val="21"/>
        </w:rPr>
        <w:t>、线路总里程：</w:t>
      </w:r>
      <w:r>
        <w:rPr>
          <w:rFonts w:hint="eastAsia" w:ascii="宋体" w:hAnsi="宋体" w:cs="宋体"/>
          <w:bCs/>
          <w:kern w:val="0"/>
          <w:szCs w:val="21"/>
        </w:rPr>
        <w:t>指合同文本规定的公路、铁路项目的路面或铺轨总长度（包括桥梁、隧道等），以“公里”作为统计单位。</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w:t>
      </w:r>
      <w:r>
        <w:rPr>
          <w:rFonts w:hint="eastAsia" w:ascii="宋体" w:hAnsi="宋体" w:cs="宋体"/>
          <w:b/>
          <w:bCs/>
          <w:kern w:val="0"/>
          <w:szCs w:val="21"/>
          <w:lang w:val="en-US" w:eastAsia="zh-CN"/>
        </w:rPr>
        <w:t>3</w:t>
      </w:r>
      <w:r>
        <w:rPr>
          <w:rFonts w:hint="eastAsia" w:ascii="宋体" w:hAnsi="宋体" w:cs="宋体"/>
          <w:b/>
          <w:bCs/>
          <w:kern w:val="0"/>
          <w:szCs w:val="21"/>
        </w:rPr>
        <w:t>、装机容量：</w:t>
      </w:r>
      <w:r>
        <w:rPr>
          <w:rFonts w:hint="eastAsia" w:ascii="宋体" w:hAnsi="宋体" w:cs="宋体"/>
          <w:bCs/>
          <w:kern w:val="0"/>
          <w:szCs w:val="21"/>
        </w:rPr>
        <w:t>指该电站</w:t>
      </w:r>
      <w:r>
        <w:rPr>
          <w:rFonts w:ascii="宋体" w:hAnsi="宋体" w:cs="宋体"/>
          <w:bCs/>
          <w:kern w:val="0"/>
          <w:szCs w:val="21"/>
        </w:rPr>
        <w:t>系统</w:t>
      </w:r>
      <w:r>
        <w:rPr>
          <w:rFonts w:hint="eastAsia" w:ascii="宋体" w:hAnsi="宋体" w:cs="宋体"/>
          <w:bCs/>
          <w:kern w:val="0"/>
          <w:szCs w:val="21"/>
        </w:rPr>
        <w:t>按合同文本规定</w:t>
      </w:r>
      <w:r>
        <w:rPr>
          <w:rFonts w:ascii="宋体" w:hAnsi="宋体" w:cs="宋体"/>
          <w:bCs/>
          <w:kern w:val="0"/>
          <w:szCs w:val="21"/>
        </w:rPr>
        <w:t>安装</w:t>
      </w:r>
      <w:r>
        <w:rPr>
          <w:rFonts w:hint="eastAsia" w:ascii="宋体" w:hAnsi="宋体" w:cs="宋体"/>
          <w:bCs/>
          <w:kern w:val="0"/>
          <w:szCs w:val="21"/>
        </w:rPr>
        <w:t>达到的发电机组</w:t>
      </w:r>
      <w:r>
        <w:rPr>
          <w:rFonts w:ascii="宋体" w:hAnsi="宋体" w:cs="宋体"/>
          <w:bCs/>
          <w:kern w:val="0"/>
          <w:szCs w:val="21"/>
        </w:rPr>
        <w:t>额定有功功率的总和</w:t>
      </w:r>
      <w:r>
        <w:rPr>
          <w:rFonts w:hint="eastAsia" w:ascii="宋体" w:hAnsi="宋体" w:cs="宋体"/>
          <w:bCs/>
          <w:kern w:val="0"/>
          <w:szCs w:val="21"/>
        </w:rPr>
        <w:t>。</w:t>
      </w:r>
    </w:p>
    <w:p>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五、附录</w:t>
      </w:r>
    </w:p>
    <w:p>
      <w:pPr>
        <w:widowControl/>
        <w:ind w:firstLine="357"/>
        <w:jc w:val="center"/>
        <w:rPr>
          <w:rFonts w:ascii="宋体" w:hAnsi="宋体" w:cs="宋体"/>
          <w:b/>
          <w:kern w:val="0"/>
          <w:sz w:val="24"/>
        </w:rPr>
      </w:pPr>
      <w:r>
        <w:rPr>
          <w:rFonts w:hint="eastAsia" w:ascii="宋体" w:hAnsi="宋体" w:cs="宋体"/>
          <w:b/>
          <w:kern w:val="0"/>
          <w:sz w:val="32"/>
          <w:szCs w:val="32"/>
        </w:rPr>
        <w:t>（一）对外承包工程项目分类</w:t>
      </w:r>
      <w:r>
        <w:rPr>
          <w:rFonts w:hint="eastAsia" w:ascii="宋体" w:hAnsi="宋体" w:cs="宋体"/>
          <w:b/>
          <w:kern w:val="0"/>
          <w:sz w:val="24"/>
        </w:rPr>
        <w:t>（标准参照：美国国际工程新闻记录）</w:t>
      </w:r>
    </w:p>
    <w:tbl>
      <w:tblPr>
        <w:tblStyle w:val="6"/>
        <w:tblW w:w="7560" w:type="dxa"/>
        <w:tblInd w:w="93" w:type="dxa"/>
        <w:tblLayout w:type="fixed"/>
        <w:tblCellMar>
          <w:top w:w="0" w:type="dxa"/>
          <w:left w:w="108" w:type="dxa"/>
          <w:bottom w:w="0" w:type="dxa"/>
          <w:right w:w="108" w:type="dxa"/>
        </w:tblCellMar>
      </w:tblPr>
      <w:tblGrid>
        <w:gridCol w:w="1740"/>
        <w:gridCol w:w="5820"/>
      </w:tblGrid>
      <w:tr>
        <w:tblPrEx>
          <w:tblLayout w:type="fixed"/>
          <w:tblCellMar>
            <w:top w:w="0" w:type="dxa"/>
            <w:left w:w="108" w:type="dxa"/>
            <w:bottom w:w="0" w:type="dxa"/>
            <w:right w:w="108" w:type="dxa"/>
          </w:tblCellMar>
        </w:tblPrEx>
        <w:trPr>
          <w:trHeight w:val="51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项目类别代码</w:t>
            </w:r>
          </w:p>
        </w:tc>
        <w:tc>
          <w:tcPr>
            <w:tcW w:w="5820" w:type="dxa"/>
            <w:vMerge w:val="restart"/>
            <w:tcBorders>
              <w:top w:val="nil"/>
              <w:left w:val="nil"/>
              <w:bottom w:val="nil"/>
              <w:right w:val="nil"/>
            </w:tcBorders>
            <w:noWrap w:val="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类别名称</w:t>
            </w:r>
          </w:p>
        </w:tc>
      </w:tr>
      <w:tr>
        <w:tblPrEx>
          <w:tblLayout w:type="fixed"/>
          <w:tblCellMar>
            <w:top w:w="0" w:type="dxa"/>
            <w:left w:w="108" w:type="dxa"/>
            <w:bottom w:w="0" w:type="dxa"/>
            <w:right w:w="108" w:type="dxa"/>
          </w:tblCellMar>
        </w:tblPrEx>
        <w:trPr>
          <w:trHeight w:val="27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（大类、小类）</w:t>
            </w:r>
          </w:p>
        </w:tc>
        <w:tc>
          <w:tcPr>
            <w:tcW w:w="5820" w:type="dxa"/>
            <w:vMerge w:val="continue"/>
            <w:tcBorders>
              <w:top w:val="nil"/>
              <w:left w:val="nil"/>
              <w:bottom w:val="nil"/>
              <w:right w:val="nil"/>
            </w:tcBorders>
            <w:noWrap w:val="0"/>
            <w:vAlign w:val="center"/>
          </w:tcPr>
          <w:p>
            <w:pPr>
              <w:jc w:val="center"/>
              <w:rPr>
                <w:rFonts w:ascii="宋体" w:hAnsi="宋体" w:eastAsia="宋体" w:cs="宋体"/>
                <w:b/>
                <w:color w:val="000000"/>
                <w:szCs w:val="21"/>
              </w:rPr>
            </w:pP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A</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一般建筑项目</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商用建筑（包括用于商业活动的商场、市场以及商用办公楼等）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政府办公设施</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教育用设施（包括幼儿园、学校等）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监狱惩戒机构</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卫生保健机构（包括医院以及与卫生保健相关的场所建设）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物流分销、仓储设施（包括各类仓库、商品分拨中心等）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酒店、汽车旅馆、会展中心</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多户单元住宅（包括供多户居民居住的住宅、公寓等）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体育设施（包括体育场、运动中心等）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游乐场所、主题公园</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宗教和文化设施</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土地平整</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B</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工业建设项目</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钢铁和有色金属加工厂建设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化学品（非石油）厂建设（包括化肥厂等）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制药厂建设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食品和饮料加工厂建设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纸浆和造纸厂建设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非金属矿物制品厂建设（包括水泥厂、石灰厂、玻璃厂等）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C</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制造加工设施建设项目</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汽车装配和零部件制造厂建设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半导体制造厂建设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电子装配厂建设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航空航天设备制造厂建设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D</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水利建设项目</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水处理、海水淡化厂(水资源循环利用）</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供水管线、沟渠建设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水坝、水库</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防洪堤坝、海堤建设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打井工程</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E</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废水（物）处理项目</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污水处理厂</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卫生间、下水道处理</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生活垃圾与农林牧渔废弃资源循环利用</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工业固体废物、废气、废液处理</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其他废水（物）处理</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F</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交通运输建设项目</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公路（含高速公路）</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桥梁</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港口及港口设施建设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机场（含航站楼）</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铁路（含地铁、轻轨及相关公共交通枢纽）</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G</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危险品处理项目</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化学品处理和土壤（指遭受污染的土壤）修复</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核废料处理</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石棉和铅减排处理</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空气净化设施</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其他危险品处理</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H</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电力工程建设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化石燃料电厂（石油、天然气和煤做为燃料的电厂）</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核电运营、工程施工与技术服务</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水力发电运营、工程施工与技术服务</w:t>
            </w:r>
          </w:p>
        </w:tc>
      </w:tr>
      <w:tr>
        <w:tblPrEx>
          <w:tblLayout w:type="fixed"/>
          <w:tblCellMar>
            <w:top w:w="0" w:type="dxa"/>
            <w:left w:w="108" w:type="dxa"/>
            <w:bottom w:w="0" w:type="dxa"/>
            <w:right w:w="108" w:type="dxa"/>
          </w:tblCellMar>
        </w:tblPrEx>
        <w:trPr>
          <w:trHeight w:val="42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热电联产电厂（指同时向用户供给电能和热能的火力发电厂）、</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风能发电运营、工程施工与技术服务</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太阳能发电运营、工程施工与技术服务</w:t>
            </w:r>
          </w:p>
        </w:tc>
      </w:tr>
      <w:tr>
        <w:tblPrEx>
          <w:tblLayout w:type="fixed"/>
          <w:tblCellMar>
            <w:top w:w="0" w:type="dxa"/>
            <w:left w:w="108" w:type="dxa"/>
            <w:bottom w:w="0" w:type="dxa"/>
            <w:right w:w="108" w:type="dxa"/>
          </w:tblCellMar>
        </w:tblPrEx>
        <w:trPr>
          <w:trHeight w:val="64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生物质能发电工程施工与技术服务（以秸杆、林业剩余物、生活垃圾等为原料）</w:t>
            </w:r>
          </w:p>
        </w:tc>
      </w:tr>
      <w:tr>
        <w:tblPrEx>
          <w:tblLayout w:type="fixed"/>
          <w:tblCellMar>
            <w:top w:w="0" w:type="dxa"/>
            <w:left w:w="108" w:type="dxa"/>
            <w:bottom w:w="0" w:type="dxa"/>
            <w:right w:w="108" w:type="dxa"/>
          </w:tblCellMar>
        </w:tblPrEx>
        <w:trPr>
          <w:trHeight w:val="60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智能电网输配电工程（包括输电线路工程、变电工程、换流站工程、智能电网技术服务等）</w:t>
            </w:r>
          </w:p>
        </w:tc>
      </w:tr>
      <w:tr>
        <w:tblPrEx>
          <w:tblLayout w:type="fixed"/>
          <w:tblCellMar>
            <w:top w:w="0" w:type="dxa"/>
            <w:left w:w="108" w:type="dxa"/>
            <w:bottom w:w="0" w:type="dxa"/>
            <w:right w:w="108" w:type="dxa"/>
          </w:tblCellMar>
        </w:tblPrEx>
        <w:trPr>
          <w:trHeight w:val="6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传统能源清洁运营、工程施工与技术服务（包括化石料、热电联电站等的废气综合利用、能源高效利用等）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I</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石油化工项目</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炼油厂和石化厂建设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油气管线建设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海上石油平台建设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01-03项服务维护运转</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J</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通讯工程建设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广播电视转播塔施工</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数据和网络中心建设</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通讯传送架与设施的施工（含地下和水下通信电缆）</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通信线路和设备安装</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航空航天工程（含卫星发射等）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K</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其他</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与采矿业相关的地质勘察</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矿山工程建筑（含坑道、隧道、井道的挖掘、搭建等）</w:t>
            </w:r>
          </w:p>
        </w:tc>
      </w:tr>
      <w:tr>
        <w:tblPrEx>
          <w:tblLayout w:type="fixed"/>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bl>
    <w:p>
      <w:pPr>
        <w:widowControl/>
        <w:ind w:firstLine="357"/>
        <w:rPr>
          <w:rFonts w:ascii="宋体" w:hAnsi="宋体" w:cs="宋体"/>
          <w:b/>
          <w:kern w:val="0"/>
          <w:sz w:val="24"/>
        </w:rPr>
      </w:pPr>
    </w:p>
    <w:p>
      <w:pPr>
        <w:jc w:val="center"/>
        <w:rPr>
          <w:rFonts w:ascii="宋体" w:hAnsi="宋体"/>
          <w:bCs/>
          <w:sz w:val="32"/>
          <w:szCs w:val="32"/>
        </w:rPr>
        <w:sectPr>
          <w:footerReference r:id="rId5" w:type="default"/>
          <w:pgSz w:w="11906" w:h="16838"/>
          <w:pgMar w:top="1191" w:right="1219" w:bottom="1191" w:left="1219" w:header="851" w:footer="992" w:gutter="0"/>
          <w:pgNumType w:fmt="numberInDash" w:start="4"/>
          <w:cols w:space="720" w:num="1"/>
          <w:docGrid w:type="lines" w:linePitch="312" w:charSpace="0"/>
        </w:sectPr>
      </w:pPr>
    </w:p>
    <w:p>
      <w:pPr>
        <w:jc w:val="center"/>
        <w:rPr>
          <w:rFonts w:ascii="宋体" w:hAnsi="宋体"/>
          <w:bCs/>
          <w:sz w:val="32"/>
          <w:szCs w:val="32"/>
        </w:rPr>
      </w:pPr>
      <w:r>
        <w:rPr>
          <w:rFonts w:hint="eastAsia" w:ascii="宋体" w:hAnsi="宋体"/>
          <w:bCs/>
          <w:sz w:val="32"/>
          <w:szCs w:val="32"/>
        </w:rPr>
        <w:t>（二）国民经济行业分类目录（GB/T 4754-2017）</w:t>
      </w:r>
    </w:p>
    <w:tbl>
      <w:tblPr>
        <w:tblStyle w:val="6"/>
        <w:tblW w:w="9468" w:type="dxa"/>
        <w:tblInd w:w="93" w:type="dxa"/>
        <w:tblLayout w:type="fixed"/>
        <w:tblCellMar>
          <w:top w:w="0" w:type="dxa"/>
          <w:left w:w="108" w:type="dxa"/>
          <w:bottom w:w="0" w:type="dxa"/>
          <w:right w:w="108" w:type="dxa"/>
        </w:tblCellMar>
      </w:tblPr>
      <w:tblGrid>
        <w:gridCol w:w="990"/>
        <w:gridCol w:w="4098"/>
        <w:gridCol w:w="1005"/>
        <w:gridCol w:w="3375"/>
      </w:tblGrid>
      <w:tr>
        <w:tblPrEx>
          <w:tblLayout w:type="fixed"/>
          <w:tblCellMar>
            <w:top w:w="0" w:type="dxa"/>
            <w:left w:w="108" w:type="dxa"/>
            <w:bottom w:w="0" w:type="dxa"/>
            <w:right w:w="108" w:type="dxa"/>
          </w:tblCellMar>
        </w:tblPrEx>
        <w:trPr>
          <w:trHeight w:val="270" w:hRule="atLeast"/>
        </w:trPr>
        <w:tc>
          <w:tcPr>
            <w:tcW w:w="990" w:type="dxa"/>
            <w:tcBorders>
              <w:top w:val="single" w:color="000000" w:sz="8" w:space="0"/>
              <w:left w:val="nil"/>
              <w:bottom w:val="single" w:color="000000" w:sz="8" w:space="0"/>
              <w:right w:val="single" w:color="000000" w:sz="8" w:space="0"/>
            </w:tcBorders>
            <w:noWrap w:val="0"/>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行业代码</w:t>
            </w:r>
          </w:p>
        </w:tc>
        <w:tc>
          <w:tcPr>
            <w:tcW w:w="4098" w:type="dxa"/>
            <w:tcBorders>
              <w:top w:val="single" w:color="000000" w:sz="8" w:space="0"/>
              <w:left w:val="nil"/>
              <w:bottom w:val="single" w:color="000000" w:sz="8" w:space="0"/>
              <w:right w:val="single" w:color="000000" w:sz="8" w:space="0"/>
            </w:tcBorders>
            <w:noWrap w:val="0"/>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类别名称</w:t>
            </w:r>
          </w:p>
        </w:tc>
        <w:tc>
          <w:tcPr>
            <w:tcW w:w="1005" w:type="dxa"/>
            <w:tcBorders>
              <w:top w:val="single" w:color="000000" w:sz="8" w:space="0"/>
              <w:left w:val="nil"/>
              <w:bottom w:val="single" w:color="000000" w:sz="8" w:space="0"/>
              <w:right w:val="single" w:color="000000" w:sz="8" w:space="0"/>
            </w:tcBorders>
            <w:noWrap w:val="0"/>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行业代码</w:t>
            </w:r>
          </w:p>
        </w:tc>
        <w:tc>
          <w:tcPr>
            <w:tcW w:w="3375" w:type="dxa"/>
            <w:tcBorders>
              <w:top w:val="single" w:color="000000" w:sz="8" w:space="0"/>
              <w:left w:val="nil"/>
              <w:bottom w:val="single" w:color="000000" w:sz="8" w:space="0"/>
              <w:right w:val="nil"/>
            </w:tcBorders>
            <w:noWrap w:val="0"/>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类别名称</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A</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农、林、牧、渔业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G</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交通运输、仓储和邮政业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铁路运输业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林业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道路运输业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畜牧业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水上运输业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渔业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航空运输业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农、林、牧、渔专业及辅助性活动</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管道运输业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B</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采矿业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多式联运和运输代理业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煤炭开采和洗选业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装卸搬运和仓储业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石油和天然气开采业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邮政业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黑色金属矿采选业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H</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住宿和餐饮业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有色金属矿采选业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61</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住宿业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非金属矿采选业  </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餐饮业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开采专业及辅助性活动</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I</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信息传输、软件和信息技术服务业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其他采矿业  </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电信、广播电视和卫星传输服务</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C</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互联网和相关服务</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农副食品加工业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软件和信息技术服务业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食品制造业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J</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金融业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酒、饮料和精制茶制造业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货币金融服务</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烟草制品业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67</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资本市场服务</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纺织业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68</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保险业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纺织服装、服饰业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其他金融业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皮革、毛皮、羽毛及其制品和制鞋业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K</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房地产业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木材加工和木、竹、藤、棕、草制品业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房地产业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家具制造业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L</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租赁和商务服务业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造纸和纸制品业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71</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租赁业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印刷和记录媒介复制业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72</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商务服务业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文教、工美、体育和娱乐用品制造业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M</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科学研究和技术服务业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石油加工、煤炭及其他燃料加工业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研究和试验发展</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化学原料和化学制品制造业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专业技术服务业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医药制造业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科技推广和应用服务业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化学纤维制造业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N</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水利、环境和公共设施管理业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橡胶和塑料制品业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水利管理业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非金属矿物制品业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77</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生态保护和环境治理业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黑色金属冶炼和压延加工业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78</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公共设施管理业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有色金属冶炼和压延加工业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79</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土地管理业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金属制品业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O</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居民服务、修理和其他服务业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通用设备制造业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80</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居民服务业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专用设备制造业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81</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机动车、电子产品和日用产品修理业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汽车制造业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82</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其他服务业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铁路、船舶、航空航天和其他运输设备制造业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P</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教育</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电气机械和器材制造业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教育</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计算机、通信和其他电子设备制造业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Q</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卫生和社会工作</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仪器仪表制造业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社会工作</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废弃资源综合利用业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R</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文化、体育和娱乐业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金属制品、机械和设备修理业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新闻和出版业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D</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电力、热力、燃气及水的生产和供应业</w:t>
            </w:r>
          </w:p>
        </w:tc>
        <w:tc>
          <w:tcPr>
            <w:tcW w:w="1005" w:type="dxa"/>
            <w:tcBorders>
              <w:top w:val="nil"/>
              <w:left w:val="nil"/>
              <w:bottom w:val="nil"/>
              <w:right w:val="single" w:color="000000" w:sz="8" w:space="0"/>
            </w:tcBorders>
            <w:noWrap w:val="0"/>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87</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广播、电视、电影和录音制作业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电力、热力生产和供应业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88</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文化艺术业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燃气生产和供应业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89</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体育</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水的生产和供应业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娱乐业</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E</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建筑业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S</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公共管理、社会保障和社会组织</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房屋建筑业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91</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中国共产党机关</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土木工程建筑业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92</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国家机构</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建筑安装业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人民政协、民主党派</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建筑装饰、装修和其他建筑业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社会保障</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F</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批发和零售业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群众团体、社会团体和其他成员组织</w:t>
            </w:r>
          </w:p>
        </w:tc>
      </w:tr>
      <w:tr>
        <w:tblPrEx>
          <w:tblLayout w:type="fixed"/>
          <w:tblCellMar>
            <w:top w:w="0" w:type="dxa"/>
            <w:left w:w="108" w:type="dxa"/>
            <w:bottom w:w="0" w:type="dxa"/>
            <w:right w:w="108" w:type="dxa"/>
          </w:tblCellMar>
        </w:tblPrEx>
        <w:trPr>
          <w:trHeight w:val="300" w:hRule="atLeast"/>
        </w:trPr>
        <w:tc>
          <w:tcPr>
            <w:tcW w:w="990" w:type="dxa"/>
            <w:tcBorders>
              <w:top w:val="nil"/>
              <w:left w:val="nil"/>
              <w:bottom w:val="nil"/>
              <w:right w:val="nil"/>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4098" w:type="dxa"/>
            <w:tcBorders>
              <w:top w:val="nil"/>
              <w:left w:val="single" w:color="000000" w:sz="4" w:space="0"/>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批发业</w:t>
            </w:r>
          </w:p>
        </w:tc>
        <w:tc>
          <w:tcPr>
            <w:tcW w:w="1005" w:type="dxa"/>
            <w:tcBorders>
              <w:top w:val="nil"/>
              <w:left w:val="single" w:color="000000" w:sz="4" w:space="0"/>
              <w:bottom w:val="nil"/>
              <w:right w:val="single" w:color="000000" w:sz="4"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基层群众自治组织及其他组织</w:t>
            </w:r>
          </w:p>
        </w:tc>
      </w:tr>
      <w:tr>
        <w:tblPrEx>
          <w:tblLayout w:type="fixed"/>
          <w:tblCellMar>
            <w:top w:w="0" w:type="dxa"/>
            <w:left w:w="108" w:type="dxa"/>
            <w:bottom w:w="0" w:type="dxa"/>
            <w:right w:w="108" w:type="dxa"/>
          </w:tblCellMar>
        </w:tblPrEx>
        <w:trPr>
          <w:trHeight w:val="324" w:hRule="atLeast"/>
        </w:trPr>
        <w:tc>
          <w:tcPr>
            <w:tcW w:w="990" w:type="dxa"/>
            <w:tcBorders>
              <w:top w:val="nil"/>
              <w:left w:val="nil"/>
              <w:bottom w:val="nil"/>
              <w:right w:val="nil"/>
            </w:tcBorders>
            <w:noWrap w:val="0"/>
            <w:vAlign w:val="top"/>
          </w:tcPr>
          <w:p>
            <w:pPr>
              <w:widowControl/>
              <w:jc w:val="center"/>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52</w:t>
            </w:r>
          </w:p>
        </w:tc>
        <w:tc>
          <w:tcPr>
            <w:tcW w:w="4098" w:type="dxa"/>
            <w:tcBorders>
              <w:top w:val="nil"/>
              <w:left w:val="single" w:color="000000" w:sz="4" w:space="0"/>
              <w:bottom w:val="nil"/>
              <w:right w:val="single" w:color="000000" w:sz="4" w:space="0"/>
            </w:tcBorders>
            <w:noWrap w:val="0"/>
            <w:vAlign w:val="top"/>
          </w:tcPr>
          <w:p>
            <w:pPr>
              <w:widowControl/>
              <w:ind w:firstLine="180" w:firstLineChars="100"/>
              <w:jc w:val="left"/>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零售业</w:t>
            </w:r>
          </w:p>
        </w:tc>
        <w:tc>
          <w:tcPr>
            <w:tcW w:w="1005" w:type="dxa"/>
            <w:tcBorders>
              <w:top w:val="nil"/>
              <w:left w:val="nil"/>
              <w:bottom w:val="nil"/>
              <w:right w:val="single" w:color="000000" w:sz="4" w:space="0"/>
            </w:tcBorders>
            <w:noWrap/>
            <w:vAlign w:val="top"/>
          </w:tcPr>
          <w:p>
            <w:pPr>
              <w:widowControl/>
              <w:rPr>
                <w:rFonts w:ascii="宋体" w:hAnsi="宋体" w:cs="宋体"/>
                <w:b/>
                <w:bCs/>
                <w:kern w:val="0"/>
                <w:sz w:val="18"/>
                <w:szCs w:val="18"/>
              </w:rPr>
            </w:pPr>
            <w:r>
              <w:rPr>
                <w:rFonts w:hint="eastAsia" w:ascii="宋体" w:hAnsi="宋体" w:cs="宋体"/>
                <w:b/>
                <w:bCs/>
                <w:kern w:val="0"/>
                <w:sz w:val="18"/>
                <w:szCs w:val="18"/>
              </w:rPr>
              <w:t>T</w:t>
            </w:r>
          </w:p>
        </w:tc>
        <w:tc>
          <w:tcPr>
            <w:tcW w:w="3375" w:type="dxa"/>
            <w:tcBorders>
              <w:top w:val="nil"/>
              <w:left w:val="nil"/>
              <w:bottom w:val="nil"/>
              <w:right w:val="nil"/>
            </w:tcBorders>
            <w:noWrap/>
            <w:vAlign w:val="top"/>
          </w:tcPr>
          <w:p>
            <w:pPr>
              <w:widowControl/>
              <w:jc w:val="left"/>
              <w:rPr>
                <w:rFonts w:ascii="宋体" w:hAnsi="宋体" w:cs="宋体"/>
                <w:b/>
                <w:bCs/>
                <w:kern w:val="0"/>
                <w:sz w:val="18"/>
                <w:szCs w:val="18"/>
              </w:rPr>
            </w:pPr>
            <w:r>
              <w:rPr>
                <w:rFonts w:hint="eastAsia" w:ascii="宋体" w:hAnsi="宋体" w:cs="宋体"/>
                <w:b/>
                <w:bCs/>
                <w:kern w:val="0"/>
                <w:sz w:val="18"/>
                <w:szCs w:val="18"/>
              </w:rPr>
              <w:t>国际组织</w:t>
            </w:r>
          </w:p>
        </w:tc>
      </w:tr>
      <w:tr>
        <w:tblPrEx>
          <w:tblLayout w:type="fixed"/>
          <w:tblCellMar>
            <w:top w:w="0" w:type="dxa"/>
            <w:left w:w="108" w:type="dxa"/>
            <w:bottom w:w="0" w:type="dxa"/>
            <w:right w:w="108" w:type="dxa"/>
          </w:tblCellMar>
        </w:tblPrEx>
        <w:trPr>
          <w:trHeight w:val="324" w:hRule="atLeast"/>
        </w:trPr>
        <w:tc>
          <w:tcPr>
            <w:tcW w:w="990" w:type="dxa"/>
            <w:tcBorders>
              <w:top w:val="nil"/>
              <w:left w:val="nil"/>
              <w:bottom w:val="single" w:color="000000" w:sz="4" w:space="0"/>
              <w:right w:val="nil"/>
            </w:tcBorders>
            <w:noWrap w:val="0"/>
            <w:vAlign w:val="top"/>
          </w:tcPr>
          <w:p>
            <w:pPr>
              <w:widowControl/>
              <w:jc w:val="center"/>
              <w:textAlignment w:val="top"/>
              <w:rPr>
                <w:rFonts w:ascii="宋体" w:hAnsi="宋体" w:eastAsia="宋体" w:cs="宋体"/>
                <w:color w:val="000000"/>
                <w:kern w:val="0"/>
                <w:sz w:val="18"/>
                <w:szCs w:val="18"/>
                <w:lang w:bidi="ar"/>
              </w:rPr>
            </w:pPr>
          </w:p>
        </w:tc>
        <w:tc>
          <w:tcPr>
            <w:tcW w:w="4098" w:type="dxa"/>
            <w:tcBorders>
              <w:top w:val="nil"/>
              <w:left w:val="single" w:color="000000" w:sz="4" w:space="0"/>
              <w:bottom w:val="single" w:color="000000" w:sz="4" w:space="0"/>
              <w:right w:val="single" w:color="000000" w:sz="4" w:space="0"/>
            </w:tcBorders>
            <w:noWrap w:val="0"/>
            <w:vAlign w:val="top"/>
          </w:tcPr>
          <w:p>
            <w:pPr>
              <w:widowControl/>
              <w:ind w:firstLine="180" w:firstLineChars="100"/>
              <w:jc w:val="left"/>
              <w:textAlignment w:val="top"/>
              <w:rPr>
                <w:rFonts w:ascii="宋体" w:hAnsi="宋体" w:eastAsia="宋体" w:cs="宋体"/>
                <w:color w:val="000000"/>
                <w:kern w:val="0"/>
                <w:sz w:val="18"/>
                <w:szCs w:val="18"/>
                <w:lang w:bidi="ar"/>
              </w:rPr>
            </w:pPr>
          </w:p>
        </w:tc>
        <w:tc>
          <w:tcPr>
            <w:tcW w:w="1005" w:type="dxa"/>
            <w:tcBorders>
              <w:top w:val="nil"/>
              <w:left w:val="nil"/>
              <w:bottom w:val="single" w:color="000000" w:sz="4" w:space="0"/>
              <w:right w:val="single" w:color="000000" w:sz="4" w:space="0"/>
            </w:tcBorders>
            <w:noWrap/>
            <w:vAlign w:val="top"/>
          </w:tcPr>
          <w:p>
            <w:pPr>
              <w:widowControl/>
              <w:jc w:val="center"/>
              <w:rPr>
                <w:rFonts w:ascii="宋体" w:hAnsi="宋体" w:eastAsia="宋体" w:cs="宋体"/>
                <w:kern w:val="0"/>
                <w:sz w:val="18"/>
                <w:szCs w:val="18"/>
              </w:rPr>
            </w:pPr>
            <w:r>
              <w:rPr>
                <w:rFonts w:hint="eastAsia" w:ascii="宋体" w:hAnsi="宋体" w:cs="宋体"/>
                <w:kern w:val="0"/>
                <w:sz w:val="18"/>
                <w:szCs w:val="18"/>
              </w:rPr>
              <w:t>97</w:t>
            </w:r>
          </w:p>
        </w:tc>
        <w:tc>
          <w:tcPr>
            <w:tcW w:w="3375" w:type="dxa"/>
            <w:tcBorders>
              <w:top w:val="nil"/>
              <w:left w:val="nil"/>
              <w:bottom w:val="single" w:color="000000" w:sz="4" w:space="0"/>
              <w:right w:val="nil"/>
            </w:tcBorders>
            <w:noWrap/>
            <w:vAlign w:val="top"/>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国际组织</w:t>
            </w:r>
          </w:p>
        </w:tc>
      </w:tr>
    </w:tbl>
    <w:p>
      <w:pPr>
        <w:rPr>
          <w:rFonts w:ascii="宋体" w:hAnsi="宋体"/>
          <w:bCs/>
          <w:sz w:val="32"/>
          <w:szCs w:val="32"/>
        </w:rPr>
      </w:pPr>
    </w:p>
    <w:p>
      <w:pPr>
        <w:rPr>
          <w:rFonts w:ascii="宋体" w:hAnsi="宋体"/>
          <w:bCs/>
          <w:sz w:val="32"/>
          <w:szCs w:val="32"/>
        </w:rPr>
      </w:pPr>
    </w:p>
    <w:p>
      <w:pPr>
        <w:rPr>
          <w:rFonts w:ascii="宋体" w:hAnsi="宋体"/>
          <w:bCs/>
          <w:sz w:val="32"/>
          <w:szCs w:val="32"/>
        </w:rPr>
      </w:pPr>
    </w:p>
    <w:p>
      <w:pPr>
        <w:rPr>
          <w:rFonts w:ascii="宋体" w:hAnsi="宋体"/>
          <w:bCs/>
          <w:sz w:val="32"/>
          <w:szCs w:val="32"/>
        </w:rPr>
      </w:pPr>
    </w:p>
    <w:p>
      <w:pPr>
        <w:rPr>
          <w:rFonts w:ascii="宋体" w:hAnsi="宋体"/>
          <w:bCs/>
          <w:sz w:val="32"/>
          <w:szCs w:val="32"/>
        </w:rPr>
      </w:pPr>
    </w:p>
    <w:p>
      <w:pPr>
        <w:rPr>
          <w:rFonts w:ascii="宋体" w:hAnsi="宋体"/>
          <w:bCs/>
          <w:sz w:val="32"/>
          <w:szCs w:val="32"/>
        </w:rPr>
        <w:sectPr>
          <w:pgSz w:w="11906" w:h="16838"/>
          <w:pgMar w:top="1191" w:right="1219" w:bottom="1191" w:left="1219" w:header="851" w:footer="992" w:gutter="0"/>
          <w:pgNumType w:fmt="numberInDash"/>
          <w:cols w:space="720" w:num="1"/>
          <w:docGrid w:type="lines" w:linePitch="312" w:charSpace="0"/>
        </w:sectPr>
      </w:pPr>
    </w:p>
    <w:p>
      <w:pPr>
        <w:widowControl/>
        <w:numPr>
          <w:ilvl w:val="0"/>
          <w:numId w:val="3"/>
        </w:numPr>
        <w:spacing w:line="600" w:lineRule="exact"/>
        <w:jc w:val="center"/>
        <w:rPr>
          <w:rFonts w:ascii="宋体" w:hAnsi="宋体" w:cs="宋体"/>
          <w:b/>
          <w:kern w:val="0"/>
          <w:sz w:val="32"/>
          <w:szCs w:val="32"/>
        </w:rPr>
      </w:pPr>
      <w:r>
        <w:rPr>
          <w:rFonts w:hint="eastAsia" w:ascii="宋体" w:hAnsi="宋体" w:cs="宋体"/>
          <w:b/>
          <w:kern w:val="0"/>
          <w:sz w:val="32"/>
          <w:szCs w:val="32"/>
        </w:rPr>
        <w:t>节能环保清洁类项目界定</w:t>
      </w:r>
    </w:p>
    <w:tbl>
      <w:tblPr>
        <w:tblStyle w:val="6"/>
        <w:tblW w:w="9330" w:type="dxa"/>
        <w:tblInd w:w="93" w:type="dxa"/>
        <w:tblLayout w:type="fixed"/>
        <w:tblCellMar>
          <w:top w:w="0" w:type="dxa"/>
          <w:left w:w="108" w:type="dxa"/>
          <w:bottom w:w="0" w:type="dxa"/>
          <w:right w:w="108" w:type="dxa"/>
        </w:tblCellMar>
      </w:tblPr>
      <w:tblGrid>
        <w:gridCol w:w="1485"/>
        <w:gridCol w:w="5175"/>
        <w:gridCol w:w="2670"/>
      </w:tblGrid>
      <w:tr>
        <w:tblPrEx>
          <w:tblLayout w:type="fixed"/>
          <w:tblCellMar>
            <w:top w:w="0" w:type="dxa"/>
            <w:left w:w="108" w:type="dxa"/>
            <w:bottom w:w="0" w:type="dxa"/>
            <w:right w:w="108" w:type="dxa"/>
          </w:tblCellMar>
        </w:tblPrEx>
        <w:trPr>
          <w:trHeight w:val="620" w:hRule="atLeast"/>
        </w:trPr>
        <w:tc>
          <w:tcPr>
            <w:tcW w:w="1485" w:type="dxa"/>
            <w:tcBorders>
              <w:top w:val="single" w:color="000000" w:sz="8" w:space="0"/>
              <w:left w:val="nil"/>
              <w:bottom w:val="single" w:color="000000" w:sz="8" w:space="0"/>
              <w:right w:val="nil"/>
            </w:tcBorders>
            <w:noWrap w:val="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项目类别代码</w:t>
            </w:r>
          </w:p>
        </w:tc>
        <w:tc>
          <w:tcPr>
            <w:tcW w:w="5175" w:type="dxa"/>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对应项目小类</w:t>
            </w:r>
          </w:p>
        </w:tc>
        <w:tc>
          <w:tcPr>
            <w:tcW w:w="2670" w:type="dxa"/>
            <w:tcBorders>
              <w:top w:val="single" w:color="000000" w:sz="8" w:space="0"/>
              <w:left w:val="nil"/>
              <w:bottom w:val="single" w:color="000000" w:sz="8" w:space="0"/>
              <w:right w:val="nil"/>
            </w:tcBorders>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对应项目大类</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D1</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水处理、海水淡化厂(水资源循环利用）</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水利建设项目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E1</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污水处理厂</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E2</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卫生间、下水道处理</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E3</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生活垃圾与农林牧渔废弃资源循环利用</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E4</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工业固体废物、废气、废液处理</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E5</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其他废水（物）处理</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G1</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化学品处理和土壤（指遭受污染的土壤）修复</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G2</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核废料处理</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G3</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石棉和铅减排处理</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G4</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空气净化设施</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G5</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其他危险品处理</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H2</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核电运营、工程施工与技术服务</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H3</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水力发电运营、工程施工与技术服务</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H5</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风能发电运营、工程施工与技术服务</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Layout w:type="fixed"/>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H6</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太阳能发电运营、工程施工与技术服务</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Layout w:type="fixed"/>
          <w:tblCellMar>
            <w:top w:w="0" w:type="dxa"/>
            <w:left w:w="108" w:type="dxa"/>
            <w:bottom w:w="0" w:type="dxa"/>
            <w:right w:w="108" w:type="dxa"/>
          </w:tblCellMar>
        </w:tblPrEx>
        <w:trPr>
          <w:trHeight w:val="6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H7</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生物质能发电工程施工与技术服务（即以生物质及其加工转化成的固体、液体、气体为燃料的热力发电）</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Layout w:type="fixed"/>
          <w:tblCellMar>
            <w:top w:w="0" w:type="dxa"/>
            <w:left w:w="108" w:type="dxa"/>
            <w:bottom w:w="0" w:type="dxa"/>
            <w:right w:w="108" w:type="dxa"/>
          </w:tblCellMar>
        </w:tblPrEx>
        <w:trPr>
          <w:trHeight w:val="60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H8</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输配电工程（包括输电线路工程、变电工程、换流站工程、智能电网技术服务等）</w:t>
            </w:r>
          </w:p>
        </w:tc>
        <w:tc>
          <w:tcPr>
            <w:tcW w:w="2670" w:type="dxa"/>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Layout w:type="fixed"/>
          <w:tblCellMar>
            <w:top w:w="0" w:type="dxa"/>
            <w:left w:w="108" w:type="dxa"/>
            <w:bottom w:w="0" w:type="dxa"/>
            <w:right w:w="108" w:type="dxa"/>
          </w:tblCellMar>
        </w:tblPrEx>
        <w:trPr>
          <w:trHeight w:val="660" w:hRule="atLeast"/>
        </w:trPr>
        <w:tc>
          <w:tcPr>
            <w:tcW w:w="1485" w:type="dxa"/>
            <w:tcBorders>
              <w:top w:val="nil"/>
              <w:left w:val="nil"/>
              <w:bottom w:val="single" w:color="000000" w:sz="8" w:space="0"/>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H9</w:t>
            </w:r>
          </w:p>
        </w:tc>
        <w:tc>
          <w:tcPr>
            <w:tcW w:w="5175" w:type="dxa"/>
            <w:tcBorders>
              <w:top w:val="nil"/>
              <w:left w:val="single" w:color="000000" w:sz="4" w:space="0"/>
              <w:bottom w:val="single" w:color="000000" w:sz="8" w:space="0"/>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传统能源清洁运营、工程施工与技术服务（包括化石料、热电联电站等的废气综合利用、能源高效利用等）</w:t>
            </w:r>
          </w:p>
        </w:tc>
        <w:tc>
          <w:tcPr>
            <w:tcW w:w="2670" w:type="dxa"/>
            <w:tcBorders>
              <w:top w:val="nil"/>
              <w:left w:val="nil"/>
              <w:bottom w:val="single" w:color="000000" w:sz="8" w:space="0"/>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bl>
    <w:p>
      <w:pPr>
        <w:widowControl/>
        <w:spacing w:line="600" w:lineRule="exact"/>
        <w:rPr>
          <w:rFonts w:ascii="宋体" w:hAnsi="宋体" w:cs="宋体"/>
          <w:b/>
          <w:kern w:val="0"/>
          <w:sz w:val="32"/>
          <w:szCs w:val="32"/>
        </w:rPr>
      </w:pPr>
    </w:p>
    <w:p>
      <w:pPr>
        <w:widowControl/>
        <w:spacing w:line="600" w:lineRule="exact"/>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kern w:val="0"/>
          <w:sz w:val="32"/>
          <w:szCs w:val="32"/>
        </w:rPr>
      </w:pPr>
      <w:r>
        <w:rPr>
          <w:rFonts w:hint="eastAsia" w:ascii="宋体" w:hAnsi="宋体" w:cs="宋体"/>
          <w:b/>
          <w:kern w:val="0"/>
          <w:sz w:val="32"/>
          <w:szCs w:val="32"/>
        </w:rPr>
        <w:t>（四）关于统计上对公有和非公有控股经济的分类办法</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kern w:val="0"/>
          <w:sz w:val="32"/>
          <w:szCs w:val="32"/>
        </w:rPr>
      </w:pPr>
      <w:r>
        <w:rPr>
          <w:rFonts w:hint="eastAsia" w:ascii="宋体" w:hAnsi="宋体" w:cs="宋体"/>
          <w:b/>
          <w:kern w:val="0"/>
          <w:sz w:val="32"/>
          <w:szCs w:val="32"/>
        </w:rPr>
        <w:t>（2005年8月18日国家统计局发布）</w:t>
      </w:r>
    </w:p>
    <w:p>
      <w:pPr>
        <w:spacing w:before="312" w:beforeLines="100" w:after="312" w:afterLines="100"/>
        <w:rPr>
          <w:rFonts w:ascii="宋体" w:hAnsi="宋体"/>
          <w:bCs/>
          <w:szCs w:val="21"/>
        </w:rPr>
      </w:pPr>
      <w:r>
        <w:rPr>
          <w:rFonts w:hint="eastAsia" w:ascii="宋体" w:hAnsi="宋体"/>
          <w:bCs/>
          <w:szCs w:val="21"/>
        </w:rPr>
        <w:t>第一条  为了全面反映我国公有经济和非公有经济的控股情况，完善1998年国家统计局关于控股情况的有关规定，制定本办法。</w:t>
      </w:r>
    </w:p>
    <w:p>
      <w:pPr>
        <w:spacing w:before="312" w:beforeLines="100" w:after="312" w:afterLines="100"/>
        <w:rPr>
          <w:rFonts w:ascii="宋体" w:hAnsi="宋体"/>
          <w:bCs/>
          <w:szCs w:val="21"/>
        </w:rPr>
      </w:pPr>
      <w:r>
        <w:rPr>
          <w:rFonts w:hint="eastAsia" w:ascii="宋体" w:hAnsi="宋体"/>
          <w:bCs/>
          <w:szCs w:val="21"/>
        </w:rPr>
        <w:t>第二条　本办法以法人企业作为分类对象，根据企业实收资本中某种经济成分的出资人实际出资情况进行分类,并按出资人对企业的控股程度，分为绝对控股和相对控股。</w:t>
      </w:r>
    </w:p>
    <w:p>
      <w:pPr>
        <w:spacing w:before="312" w:beforeLines="100" w:after="312" w:afterLines="100"/>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widowControl/>
        <w:spacing w:line="540" w:lineRule="exact"/>
        <w:ind w:right="34" w:firstLine="454" w:firstLineChars="200"/>
        <w:jc w:val="left"/>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widowControl/>
        <w:spacing w:line="54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widowControl/>
        <w:spacing w:line="540" w:lineRule="exact"/>
        <w:ind w:right="34" w:firstLine="454" w:firstLineChars="200"/>
        <w:jc w:val="left"/>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widowControl/>
        <w:spacing w:line="54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widowControl/>
        <w:spacing w:line="540" w:lineRule="exact"/>
        <w:ind w:right="34" w:firstLine="452" w:firstLineChars="200"/>
        <w:jc w:val="left"/>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widowControl/>
        <w:spacing w:line="54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widowControl/>
        <w:spacing w:line="54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widowControl/>
        <w:spacing w:line="54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spacing w:before="312" w:beforeLines="100" w:after="312" w:afterLines="100"/>
        <w:rPr>
          <w:rFonts w:ascii="宋体" w:hAnsi="宋体"/>
          <w:bCs/>
          <w:szCs w:val="21"/>
        </w:rPr>
      </w:pPr>
      <w:r>
        <w:rPr>
          <w:rFonts w:hint="eastAsia" w:ascii="宋体" w:hAnsi="宋体"/>
          <w:bCs/>
          <w:szCs w:val="21"/>
        </w:rPr>
        <w:t>第四条  绝对控股是指在企业的全部实收资本中，某种经济成分的出资人拥有的实收资本(股本)所占企业的全部实收资本（股本）的比例大于50%。投资双方各占50%，且未明确由谁绝对控股的企业，若其中一方为国有或集体的，一律按公有绝对控股经济处理;若投资双方分别为国有、集体的，则按国有绝对控股处理。</w:t>
      </w:r>
    </w:p>
    <w:p>
      <w:pPr>
        <w:spacing w:before="312" w:beforeLines="100" w:after="312" w:afterLines="100"/>
        <w:rPr>
          <w:rFonts w:ascii="宋体" w:hAnsi="宋体"/>
          <w:bCs/>
          <w:szCs w:val="21"/>
        </w:rPr>
      </w:pPr>
      <w:r>
        <w:rPr>
          <w:rFonts w:hint="eastAsia" w:ascii="宋体" w:hAnsi="宋体"/>
          <w:bCs/>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spacing w:before="312" w:beforeLines="100" w:after="312" w:afterLines="100"/>
        <w:rPr>
          <w:rFonts w:ascii="宋体" w:hAnsi="宋体"/>
          <w:bCs/>
          <w:szCs w:val="21"/>
        </w:rPr>
      </w:pPr>
      <w:r>
        <w:rPr>
          <w:rFonts w:hint="eastAsia" w:ascii="宋体" w:hAnsi="宋体"/>
          <w:bCs/>
          <w:szCs w:val="21"/>
        </w:rPr>
        <w:t>第六条  本办法由国家统计局负责解释。</w:t>
      </w:r>
    </w:p>
    <w:p>
      <w:pPr>
        <w:spacing w:before="312" w:beforeLines="100" w:after="312" w:afterLines="100"/>
        <w:rPr>
          <w:rFonts w:ascii="宋体" w:hAnsi="宋体"/>
          <w:bCs/>
          <w:szCs w:val="21"/>
        </w:rPr>
      </w:pPr>
      <w:r>
        <w:rPr>
          <w:rFonts w:hint="eastAsia" w:ascii="宋体" w:hAnsi="宋体"/>
          <w:bCs/>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ab/>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br w:type="page"/>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（五）向国家统计局提供的统计资料清单</w:t>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
    <w:p/>
    <w:p/>
    <w:p/>
    <w:p>
      <w:pPr>
        <w:widowControl/>
        <w:numPr>
          <w:ilvl w:val="0"/>
          <w:numId w:val="4"/>
        </w:numPr>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向统计信息共享数据库提供的统计资料清单</w:t>
      </w:r>
    </w:p>
    <w:p>
      <w:pPr>
        <w:widowControl/>
        <w:spacing w:line="600" w:lineRule="exact"/>
        <w:rPr>
          <w:rFonts w:ascii="宋体" w:hAnsi="宋体" w:cs="宋体"/>
          <w:b/>
          <w:color w:val="000000"/>
          <w:spacing w:val="8"/>
          <w:kern w:val="0"/>
          <w:sz w:val="32"/>
          <w:szCs w:val="32"/>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widowControl/>
        <w:spacing w:line="600" w:lineRule="exact"/>
        <w:jc w:val="center"/>
        <w:rPr>
          <w:rFonts w:ascii="宋体" w:hAnsi="宋体" w:cs="宋体"/>
          <w:b/>
          <w:color w:val="000000"/>
          <w:spacing w:val="8"/>
          <w:kern w:val="0"/>
          <w:sz w:val="32"/>
          <w:szCs w:val="32"/>
        </w:rPr>
      </w:pPr>
    </w:p>
    <w:p>
      <w:pPr>
        <w:tabs>
          <w:tab w:val="left" w:pos="142"/>
        </w:tabs>
        <w:spacing w:line="480" w:lineRule="auto"/>
        <w:jc w:val="left"/>
        <w:rPr>
          <w:rFonts w:hint="default" w:ascii="仿宋_GB2312" w:eastAsia="仿宋_GB2312"/>
          <w:sz w:val="32"/>
          <w:szCs w:val="32"/>
          <w:lang w:val="en-US" w:eastAsia="zh-CN"/>
        </w:rPr>
      </w:pPr>
    </w:p>
    <w:p>
      <w:pPr>
        <w:widowControl/>
        <w:spacing w:before="100" w:beforeAutospacing="1" w:after="100" w:afterAutospacing="1" w:line="384" w:lineRule="auto"/>
        <w:rPr>
          <w:rFonts w:ascii="黑体" w:hAnsi="宋体" w:eastAsia="黑体" w:cs="宋体"/>
          <w:kern w:val="0"/>
          <w:sz w:val="36"/>
          <w:szCs w:val="36"/>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《对外劳务合作业务统计调查制度》</w:t>
      </w:r>
    </w:p>
    <w:p>
      <w:pPr>
        <w:widowControl/>
        <w:spacing w:before="100" w:beforeAutospacing="1" w:after="100" w:afterAutospacing="1" w:line="384" w:lineRule="auto"/>
        <w:jc w:val="center"/>
        <w:rPr>
          <w:rFonts w:ascii="宋体" w:hAnsi="宋体" w:cs="宋体"/>
          <w:b/>
          <w:kern w:val="0"/>
          <w:sz w:val="36"/>
          <w:szCs w:val="36"/>
          <w:lang w:val="en"/>
        </w:rPr>
      </w:pPr>
    </w:p>
    <w:p>
      <w:pPr>
        <w:widowControl/>
        <w:spacing w:before="100" w:beforeAutospacing="1" w:after="100" w:afterAutospacing="1" w:line="384" w:lineRule="auto"/>
        <w:jc w:val="center"/>
        <w:rPr>
          <w:rFonts w:ascii="宋体" w:hAnsi="宋体" w:cs="宋体"/>
          <w:b/>
          <w:kern w:val="0"/>
          <w:sz w:val="36"/>
          <w:szCs w:val="36"/>
          <w:lang w:val="en"/>
        </w:rPr>
      </w:pPr>
    </w:p>
    <w:p>
      <w:pPr>
        <w:widowControl/>
        <w:spacing w:before="100" w:beforeAutospacing="1" w:after="100" w:afterAutospacing="1" w:line="384" w:lineRule="auto"/>
        <w:jc w:val="center"/>
        <w:rPr>
          <w:rFonts w:ascii="宋体" w:hAnsi="宋体" w:cs="宋体"/>
          <w:b/>
          <w:kern w:val="0"/>
          <w:sz w:val="52"/>
          <w:szCs w:val="5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2021年12月</w:t>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本制度根据《中华人民共和国统计法》等有关规定制定</w:t>
      </w:r>
    </w:p>
    <w:p>
      <w:pPr>
        <w:widowControl/>
        <w:spacing w:before="100" w:beforeAutospacing="1" w:after="100" w:afterAutospacing="1" w:line="384" w:lineRule="auto"/>
        <w:ind w:firstLine="562" w:firstLineChars="200"/>
        <w:rPr>
          <w:rFonts w:ascii="仿宋_GB2312" w:hAnsi="宋体" w:eastAsia="仿宋_GB2312" w:cs="宋体"/>
          <w:b/>
          <w:kern w:val="0"/>
          <w:sz w:val="28"/>
          <w:szCs w:val="28"/>
        </w:rPr>
      </w:pPr>
    </w:p>
    <w:p>
      <w:pPr>
        <w:widowControl/>
        <w:spacing w:before="100" w:beforeAutospacing="1" w:after="100" w:afterAutospacing="1" w:line="600" w:lineRule="exact"/>
        <w:ind w:right="-239" w:rightChars="-114"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600" w:lineRule="exact"/>
        <w:ind w:right="-239" w:rightChars="-114"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《中华人民共和国统计法》第九条规定：统计机构和统计人员对在统计工作中知悉的国家秘密、商业秘密和个人信息，应当予以保密。</w:t>
      </w:r>
    </w:p>
    <w:p>
      <w:pPr>
        <w:widowControl/>
        <w:spacing w:before="100" w:beforeAutospacing="1" w:after="100" w:afterAutospacing="1" w:line="600" w:lineRule="exact"/>
        <w:ind w:right="-239" w:rightChars="-114"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《中华人民共和国统计法》第二十五条规定：统计调查中获得的能够识别或者推断单个统计调查对象身份的资料，任何单位和个人不得对外提供、泄露，不得用于统计以外的目的。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422" w:firstLineChars="150"/>
        <w:rPr>
          <w:rFonts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目 录</w:t>
      </w:r>
    </w:p>
    <w:p>
      <w:pPr>
        <w:widowControl/>
        <w:spacing w:before="100" w:after="100" w:line="400" w:lineRule="exact"/>
        <w:jc w:val="distribute"/>
        <w:rPr>
          <w:rFonts w:hint="default" w:ascii="宋体" w:hAnsi="宋体" w:eastAsia="宋体" w:cs="宋体"/>
          <w:kern w:val="0"/>
          <w:szCs w:val="21"/>
          <w:lang w:val="en-US" w:eastAsia="zh-CN"/>
        </w:rPr>
      </w:pPr>
      <w:r>
        <w:rPr>
          <w:rFonts w:hint="eastAsia" w:ascii="宋体" w:hAnsi="宋体" w:cs="宋体"/>
          <w:kern w:val="0"/>
          <w:szCs w:val="21"/>
        </w:rPr>
        <w:t>一、总说明  …</w:t>
      </w:r>
      <w:r>
        <w:rPr>
          <w:rFonts w:hint="eastAsia" w:ascii="宋体" w:hAnsi="宋体"/>
          <w:bCs/>
          <w:szCs w:val="21"/>
        </w:rPr>
        <w:t>…………………………………………………………………………………………</w:t>
      </w:r>
      <w:r>
        <w:rPr>
          <w:rFonts w:hint="eastAsia" w:ascii="宋体" w:hAnsi="宋体"/>
          <w:bCs/>
          <w:szCs w:val="21"/>
          <w:lang w:val="en-US" w:eastAsia="zh-CN"/>
        </w:rPr>
        <w:t>32</w:t>
      </w:r>
    </w:p>
    <w:p>
      <w:pPr>
        <w:widowControl/>
        <w:spacing w:before="100" w:after="100" w:line="400" w:lineRule="exact"/>
        <w:jc w:val="distribute"/>
        <w:rPr>
          <w:rFonts w:hint="default" w:ascii="宋体" w:hAnsi="宋体" w:eastAsia="宋体" w:cs="宋体"/>
          <w:kern w:val="0"/>
          <w:szCs w:val="21"/>
          <w:lang w:val="en-US" w:eastAsia="zh-CN"/>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34</w:t>
      </w:r>
    </w:p>
    <w:p>
      <w:pPr>
        <w:widowControl/>
        <w:spacing w:before="100" w:after="100" w:line="400" w:lineRule="exact"/>
        <w:rPr>
          <w:rFonts w:ascii="宋体" w:hAnsi="宋体" w:cs="宋体"/>
          <w:kern w:val="0"/>
          <w:szCs w:val="21"/>
        </w:rPr>
      </w:pPr>
      <w:r>
        <w:rPr>
          <w:rFonts w:hint="eastAsia" w:ascii="宋体" w:hAnsi="宋体" w:cs="宋体"/>
          <w:kern w:val="0"/>
          <w:szCs w:val="21"/>
        </w:rPr>
        <w:t>三、调查表式</w:t>
      </w:r>
    </w:p>
    <w:p>
      <w:pPr>
        <w:widowControl/>
        <w:spacing w:before="100" w:after="100" w:line="400" w:lineRule="exact"/>
        <w:jc w:val="distribute"/>
        <w:rPr>
          <w:rFonts w:hint="default" w:ascii="宋体" w:hAnsi="宋体" w:eastAsia="宋体" w:cs="宋体"/>
          <w:kern w:val="0"/>
          <w:szCs w:val="21"/>
          <w:lang w:val="en-US" w:eastAsia="zh-CN"/>
        </w:rPr>
      </w:pPr>
      <w:r>
        <w:rPr>
          <w:rFonts w:hint="eastAsia" w:ascii="宋体" w:hAnsi="宋体" w:cs="宋体"/>
          <w:kern w:val="0"/>
          <w:szCs w:val="21"/>
        </w:rPr>
        <w:t xml:space="preserve">   （一）</w:t>
      </w:r>
      <w:r>
        <w:rPr>
          <w:rFonts w:hint="eastAsia" w:ascii="宋体" w:hAnsi="宋体"/>
          <w:bCs/>
          <w:szCs w:val="21"/>
        </w:rPr>
        <w:t>对外劳务合作派出人员构成（LW1表） …………………………………………………</w:t>
      </w:r>
      <w:r>
        <w:rPr>
          <w:rFonts w:hint="eastAsia" w:ascii="宋体" w:hAnsi="宋体"/>
          <w:bCs/>
          <w:szCs w:val="21"/>
          <w:lang w:val="en-US" w:eastAsia="zh-CN"/>
        </w:rPr>
        <w:t>35</w:t>
      </w:r>
    </w:p>
    <w:p>
      <w:pPr>
        <w:widowControl/>
        <w:spacing w:before="100" w:after="100" w:line="400" w:lineRule="exact"/>
        <w:jc w:val="distribute"/>
        <w:rPr>
          <w:rFonts w:hint="eastAsia" w:ascii="宋体" w:hAnsi="宋体"/>
          <w:bCs/>
          <w:szCs w:val="21"/>
          <w:lang w:val="en-US" w:eastAsia="zh-CN"/>
        </w:rPr>
      </w:pPr>
      <w:r>
        <w:rPr>
          <w:rFonts w:hint="eastAsia" w:ascii="宋体" w:hAnsi="宋体" w:cs="宋体"/>
          <w:kern w:val="0"/>
          <w:szCs w:val="21"/>
        </w:rPr>
        <w:t xml:space="preserve">   （二）</w:t>
      </w:r>
      <w:r>
        <w:rPr>
          <w:rFonts w:hint="eastAsia" w:ascii="宋体" w:hAnsi="宋体"/>
          <w:bCs/>
          <w:szCs w:val="21"/>
        </w:rPr>
        <w:t>对外劳务合作期末在外人员构成（LW2表） ……………………………………………</w:t>
      </w:r>
      <w:r>
        <w:rPr>
          <w:rFonts w:hint="eastAsia" w:ascii="宋体" w:hAnsi="宋体"/>
          <w:bCs/>
          <w:szCs w:val="21"/>
          <w:lang w:val="en-US" w:eastAsia="zh-CN"/>
        </w:rPr>
        <w:t>36</w:t>
      </w:r>
    </w:p>
    <w:p>
      <w:pPr>
        <w:widowControl/>
        <w:spacing w:before="100" w:after="100" w:line="400" w:lineRule="exact"/>
        <w:jc w:val="distribute"/>
        <w:rPr>
          <w:rFonts w:hint="default" w:ascii="宋体" w:hAnsi="宋体" w:eastAsia="宋体"/>
          <w:bCs/>
          <w:szCs w:val="21"/>
          <w:lang w:val="en-US" w:eastAsia="zh-CN"/>
        </w:rPr>
      </w:pPr>
      <w:r>
        <w:rPr>
          <w:rFonts w:hint="eastAsia" w:ascii="宋体" w:hAnsi="宋体"/>
          <w:bCs/>
          <w:szCs w:val="21"/>
          <w:lang w:val="en-US" w:eastAsia="zh-CN"/>
        </w:rPr>
        <w:t xml:space="preserve">   </w:t>
      </w:r>
      <w:r>
        <w:rPr>
          <w:rFonts w:hint="eastAsia" w:ascii="宋体" w:hAnsi="宋体"/>
          <w:bCs/>
          <w:szCs w:val="21"/>
        </w:rPr>
        <w:t>（三）对外劳务合作项目明细（LW3表） ………………………………………………………</w:t>
      </w:r>
      <w:r>
        <w:rPr>
          <w:rFonts w:hint="eastAsia" w:ascii="宋体" w:hAnsi="宋体"/>
          <w:bCs/>
          <w:szCs w:val="21"/>
          <w:lang w:val="en-US" w:eastAsia="zh-CN"/>
        </w:rPr>
        <w:t>37</w:t>
      </w:r>
    </w:p>
    <w:p>
      <w:pPr>
        <w:widowControl/>
        <w:spacing w:before="100" w:after="100" w:line="400" w:lineRule="exact"/>
        <w:jc w:val="distribute"/>
        <w:rPr>
          <w:rFonts w:hint="eastAsia" w:ascii="宋体" w:hAnsi="宋体" w:eastAsia="宋体" w:cs="宋体"/>
          <w:kern w:val="0"/>
          <w:szCs w:val="21"/>
          <w:lang w:val="en-US" w:eastAsia="zh-CN"/>
        </w:rPr>
      </w:pPr>
      <w:r>
        <w:rPr>
          <w:rFonts w:hint="eastAsia" w:ascii="宋体" w:hAnsi="宋体"/>
          <w:bCs/>
          <w:szCs w:val="21"/>
        </w:rPr>
        <w:t>四、主要指标解释 ……………………………………………………………………………………3</w:t>
      </w:r>
      <w:r>
        <w:rPr>
          <w:rFonts w:hint="eastAsia" w:ascii="宋体" w:hAnsi="宋体"/>
          <w:bCs/>
          <w:szCs w:val="21"/>
          <w:lang w:val="en-US" w:eastAsia="zh-CN"/>
        </w:rPr>
        <w:t>8</w:t>
      </w:r>
    </w:p>
    <w:p>
      <w:pPr>
        <w:widowControl/>
        <w:spacing w:before="100" w:after="100" w:line="400" w:lineRule="exact"/>
        <w:jc w:val="distribute"/>
        <w:rPr>
          <w:rFonts w:hint="eastAsia" w:ascii="宋体" w:hAnsi="宋体" w:eastAsia="宋体"/>
          <w:bCs/>
          <w:szCs w:val="21"/>
          <w:lang w:val="en-US" w:eastAsia="zh-CN"/>
        </w:rPr>
      </w:pPr>
      <w:r>
        <w:rPr>
          <w:rFonts w:hint="eastAsia" w:ascii="宋体" w:hAnsi="宋体"/>
          <w:bCs/>
          <w:szCs w:val="21"/>
        </w:rPr>
        <w:t>五、附录 ………………………………………………………………………………………………3</w:t>
      </w:r>
      <w:r>
        <w:rPr>
          <w:rFonts w:hint="eastAsia" w:ascii="宋体" w:hAnsi="宋体"/>
          <w:bCs/>
          <w:szCs w:val="21"/>
          <w:lang w:val="en-US" w:eastAsia="zh-CN"/>
        </w:rPr>
        <w:t>9</w:t>
      </w:r>
    </w:p>
    <w:p>
      <w:pPr>
        <w:widowControl/>
        <w:spacing w:before="100" w:after="100" w:line="400" w:lineRule="exact"/>
        <w:jc w:val="distribute"/>
        <w:rPr>
          <w:rFonts w:hint="eastAsia" w:ascii="宋体" w:hAnsi="宋体" w:eastAsia="宋体" w:cs="宋体"/>
          <w:color w:val="000000"/>
          <w:kern w:val="0"/>
          <w:szCs w:val="21"/>
          <w:lang w:val="en-US" w:eastAsia="zh-CN"/>
        </w:rPr>
      </w:pPr>
      <w:r>
        <w:rPr>
          <w:rFonts w:hint="eastAsia" w:ascii="宋体" w:hAnsi="宋体"/>
          <w:bCs/>
          <w:szCs w:val="21"/>
        </w:rPr>
        <w:t xml:space="preserve">  （一）</w:t>
      </w:r>
      <w:r>
        <w:rPr>
          <w:rFonts w:hint="eastAsia" w:ascii="宋体" w:hAnsi="宋体" w:cs="宋体"/>
          <w:color w:val="000000"/>
          <w:kern w:val="0"/>
          <w:szCs w:val="21"/>
        </w:rPr>
        <w:t>关于统计上对公有和非公有控股经济的分类办法 …………………………………………3</w:t>
      </w:r>
      <w:r>
        <w:rPr>
          <w:rFonts w:hint="eastAsia" w:ascii="宋体" w:hAnsi="宋体" w:cs="宋体"/>
          <w:color w:val="000000"/>
          <w:kern w:val="0"/>
          <w:szCs w:val="21"/>
          <w:lang w:val="en-US" w:eastAsia="zh-CN"/>
        </w:rPr>
        <w:t>9</w:t>
      </w:r>
    </w:p>
    <w:p>
      <w:pPr>
        <w:widowControl/>
        <w:spacing w:before="100" w:after="100" w:line="400" w:lineRule="exact"/>
        <w:jc w:val="distribute"/>
        <w:rPr>
          <w:rFonts w:hint="default" w:ascii="宋体" w:hAnsi="宋体" w:eastAsia="宋体"/>
          <w:bCs/>
          <w:szCs w:val="21"/>
          <w:lang w:val="en-US" w:eastAsia="zh-CN"/>
        </w:rPr>
      </w:pPr>
      <w:r>
        <w:rPr>
          <w:rFonts w:hint="eastAsia" w:ascii="宋体" w:hAnsi="宋体"/>
          <w:bCs/>
          <w:szCs w:val="21"/>
        </w:rPr>
        <w:t xml:space="preserve">  （二）向国家统计局提供的统计资料清单  …………………………………………………</w:t>
      </w:r>
      <w:r>
        <w:rPr>
          <w:rFonts w:hint="eastAsia" w:ascii="宋体" w:hAnsi="宋体"/>
          <w:bCs/>
          <w:szCs w:val="21"/>
          <w:lang w:val="en-US" w:eastAsia="zh-CN"/>
        </w:rPr>
        <w:t>40</w:t>
      </w:r>
    </w:p>
    <w:p>
      <w:pPr>
        <w:widowControl/>
        <w:spacing w:before="100" w:after="100" w:line="400" w:lineRule="exact"/>
        <w:jc w:val="distribute"/>
        <w:rPr>
          <w:rFonts w:hint="default" w:ascii="宋体" w:hAnsi="宋体" w:eastAsia="宋体"/>
          <w:bCs/>
          <w:szCs w:val="21"/>
          <w:lang w:val="en-US" w:eastAsia="zh-CN"/>
        </w:rPr>
      </w:pPr>
      <w:r>
        <w:rPr>
          <w:rFonts w:hint="eastAsia" w:ascii="宋体" w:hAnsi="宋体"/>
          <w:bCs/>
          <w:szCs w:val="21"/>
        </w:rPr>
        <w:t xml:space="preserve">  （三）向统计信息共享数据库提供的统计资料清单 ………………………………………………</w:t>
      </w:r>
      <w:r>
        <w:rPr>
          <w:rFonts w:hint="eastAsia" w:ascii="宋体" w:hAnsi="宋体"/>
          <w:bCs/>
          <w:szCs w:val="21"/>
          <w:lang w:val="en-US" w:eastAsia="zh-CN"/>
        </w:rPr>
        <w:t>40</w:t>
      </w:r>
    </w:p>
    <w:p>
      <w:pPr>
        <w:widowControl/>
        <w:spacing w:line="400" w:lineRule="exact"/>
        <w:jc w:val="distribute"/>
        <w:rPr>
          <w:rFonts w:ascii="宋体" w:hAnsi="宋体" w:cs="宋体"/>
          <w:color w:val="000000"/>
          <w:spacing w:val="8"/>
          <w:kern w:val="0"/>
          <w:szCs w:val="21"/>
        </w:rPr>
      </w:pPr>
    </w:p>
    <w:p>
      <w:pPr>
        <w:widowControl/>
        <w:spacing w:before="100" w:after="100" w:line="400" w:lineRule="exact"/>
        <w:rPr>
          <w:rFonts w:ascii="宋体" w:hAnsi="宋体"/>
          <w:bCs/>
          <w:szCs w:val="21"/>
        </w:rPr>
      </w:pPr>
    </w:p>
    <w:p>
      <w:pPr>
        <w:widowControl/>
        <w:spacing w:before="100" w:beforeAutospacing="1" w:after="100" w:afterAutospacing="1" w:line="384" w:lineRule="auto"/>
        <w:rPr>
          <w:rFonts w:ascii="宋体" w:hAnsi="宋体" w:cs="宋体"/>
          <w:kern w:val="0"/>
          <w:sz w:val="32"/>
          <w:szCs w:val="32"/>
        </w:rPr>
      </w:pPr>
    </w:p>
    <w:p/>
    <w:p/>
    <w:p/>
    <w:p/>
    <w:p/>
    <w:p/>
    <w:p/>
    <w:p/>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ascii="黑体" w:hAnsi="宋体" w:eastAsia="黑体" w:cs="宋体"/>
          <w:b/>
          <w:kern w:val="0"/>
          <w:sz w:val="32"/>
          <w:szCs w:val="32"/>
        </w:rPr>
      </w:pPr>
      <w:r>
        <w:rPr>
          <w:rFonts w:hint="eastAsia" w:ascii="黑体" w:hAnsi="宋体" w:eastAsia="黑体" w:cs="宋体"/>
          <w:b/>
          <w:kern w:val="0"/>
          <w:sz w:val="32"/>
          <w:szCs w:val="32"/>
        </w:rPr>
        <w:br w:type="page"/>
      </w:r>
      <w:r>
        <w:rPr>
          <w:rFonts w:hint="eastAsia" w:ascii="黑体" w:hAnsi="宋体" w:eastAsia="黑体" w:cs="宋体"/>
          <w:b/>
          <w:kern w:val="0"/>
          <w:sz w:val="32"/>
          <w:szCs w:val="32"/>
        </w:rPr>
        <w:t>一、  总 说 明</w:t>
      </w:r>
    </w:p>
    <w:p>
      <w:pPr>
        <w:pStyle w:val="2"/>
        <w:keepNext w:val="0"/>
        <w:keepLines w:val="0"/>
        <w:pageBreakBefore w:val="0"/>
        <w:tabs>
          <w:tab w:val="clear" w:pos="756"/>
        </w:tabs>
        <w:kinsoku/>
        <w:wordWrap/>
        <w:overflowPunct/>
        <w:topLinePunct w:val="0"/>
        <w:autoSpaceDE w:val="0"/>
        <w:autoSpaceDN w:val="0"/>
        <w:bidi w:val="0"/>
        <w:adjustRightInd w:val="0"/>
        <w:snapToGrid w:val="0"/>
        <w:spacing w:afterAutospacing="0" w:line="400" w:lineRule="exact"/>
        <w:ind w:firstLine="422" w:firstLineChars="200"/>
        <w:textAlignment w:val="bottom"/>
        <w:rPr>
          <w:rFonts w:ascii="宋体" w:hAnsi="宋体" w:cs="宋体"/>
          <w:b/>
        </w:rPr>
      </w:pPr>
      <w:r>
        <w:rPr>
          <w:rFonts w:hint="eastAsia" w:ascii="宋体" w:hAnsi="宋体" w:cs="宋体"/>
          <w:b/>
        </w:rPr>
        <w:t>（一）调查目的</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为科学、有效地组织全国对外劳务合作业务统计工作，充分发挥统计信息、咨询、监督作用，依照《中华人民共和国统计法》、《中华人民共和国统计法实施条例》，特制定本制度。</w:t>
      </w:r>
      <w:r>
        <w:rPr>
          <w:rFonts w:hint="eastAsia" w:ascii="宋体" w:hAnsi="宋体" w:cs="宋体"/>
          <w:kern w:val="0"/>
          <w:szCs w:val="21"/>
        </w:rPr>
        <w:t>对外</w:t>
      </w:r>
      <w:r>
        <w:rPr>
          <w:rFonts w:hint="eastAsia" w:ascii="宋体" w:hAnsi="宋体" w:cs="宋体"/>
          <w:bCs/>
          <w:kern w:val="0"/>
          <w:szCs w:val="21"/>
        </w:rPr>
        <w:t>劳务合作业务统计的基本任务是通过统计调查、统计分析和提供统计资料，真实、准确、完整、及时地反映对外劳务合作业务的实际情况，为有关部门制定方针、政策提供可靠的数据支持，是我国对外投资合作统计体系的重要组成部分。</w:t>
      </w:r>
    </w:p>
    <w:p>
      <w:pPr>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（二）调查对象</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lang w:val="en"/>
        </w:rPr>
      </w:pPr>
      <w:r>
        <w:rPr>
          <w:rFonts w:ascii="宋体" w:hAnsi="宋体" w:cs="宋体"/>
          <w:bCs/>
          <w:kern w:val="0"/>
          <w:szCs w:val="21"/>
          <w:lang w:val="en"/>
        </w:rPr>
        <w:t>所有发生</w:t>
      </w:r>
      <w:r>
        <w:rPr>
          <w:rFonts w:hint="eastAsia" w:ascii="宋体" w:hAnsi="宋体" w:cs="宋体"/>
          <w:bCs/>
          <w:kern w:val="0"/>
          <w:szCs w:val="21"/>
        </w:rPr>
        <w:t>对外劳务合作</w:t>
      </w:r>
      <w:r>
        <w:rPr>
          <w:rFonts w:ascii="宋体" w:hAnsi="宋体" w:cs="宋体"/>
          <w:bCs/>
          <w:kern w:val="0"/>
          <w:szCs w:val="21"/>
          <w:lang w:val="en"/>
        </w:rPr>
        <w:t>业务的中国企业和单位。</w:t>
      </w:r>
    </w:p>
    <w:p>
      <w:pPr>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w:t>
      </w:r>
      <w:r>
        <w:rPr>
          <w:rFonts w:ascii="宋体" w:hAnsi="宋体" w:cs="宋体"/>
          <w:b/>
          <w:lang w:val="en"/>
        </w:rPr>
        <w:t>三</w:t>
      </w:r>
      <w:r>
        <w:rPr>
          <w:rFonts w:hint="eastAsia" w:ascii="宋体" w:hAnsi="宋体" w:cs="宋体"/>
          <w:b/>
        </w:rPr>
        <w:t>）统计范围</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1、对外劳务合作指组织劳务人员赴其他国家或地区为国外的企业或机构工作的经营性活动；</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2、本制度适用于我国境内各级商务主管部门和获得对外劳务合作经营资格的企业以及海员外派机构（以下简称企业）；</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3、中国公民个人到境外工作不属对外劳务合作业务统计范畴；</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4、企业与境外中资企业（包括中国企业为承揽境外承包工程项目而设立的境外企业）签订劳务合作合同，按照合同约定派人员赴境外工作的活动纳入对外劳务合作统计。</w:t>
      </w:r>
    </w:p>
    <w:p>
      <w:pPr>
        <w:pStyle w:val="2"/>
        <w:tabs>
          <w:tab w:val="clear" w:pos="756"/>
        </w:tabs>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w:t>
      </w:r>
      <w:r>
        <w:rPr>
          <w:rFonts w:ascii="宋体" w:hAnsi="宋体" w:cs="宋体"/>
          <w:b/>
          <w:lang w:val="en"/>
        </w:rPr>
        <w:t>四</w:t>
      </w:r>
      <w:r>
        <w:rPr>
          <w:rFonts w:hint="eastAsia" w:ascii="宋体" w:hAnsi="宋体" w:cs="宋体"/>
          <w:b/>
        </w:rPr>
        <w:t>）调查内容</w:t>
      </w:r>
    </w:p>
    <w:p>
      <w:pPr>
        <w:autoSpaceDE w:val="0"/>
        <w:autoSpaceDN w:val="0"/>
        <w:adjustRightInd w:val="0"/>
        <w:snapToGrid w:val="0"/>
        <w:spacing w:line="400" w:lineRule="exact"/>
        <w:ind w:firstLine="420" w:firstLineChars="200"/>
        <w:textAlignment w:val="bottom"/>
        <w:rPr>
          <w:rFonts w:ascii="宋体" w:hAnsi="宋体" w:cs="宋体"/>
        </w:rPr>
      </w:pPr>
      <w:r>
        <w:rPr>
          <w:rFonts w:hint="eastAsia" w:ascii="宋体" w:hAnsi="宋体" w:cs="宋体"/>
        </w:rPr>
        <w:t>对外劳务合作业务统计报表包括对外劳务合作派出人员构成表（LW1）、对外劳务合作期末在外人员构成表（LW2）和对外劳务合作项目明细表（LW3）。其中主要指标内容包括：</w:t>
      </w:r>
      <w:r>
        <w:rPr>
          <w:rFonts w:hint="eastAsia" w:ascii="宋体" w:hAnsi="宋体" w:cs="宋体"/>
          <w:bCs/>
          <w:kern w:val="0"/>
          <w:szCs w:val="21"/>
        </w:rPr>
        <w:t>派出人数、月末在外人数、新签劳务人员合同工资总额、劳务人员实际收入总额等。</w:t>
      </w:r>
    </w:p>
    <w:p>
      <w:pPr>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w:t>
      </w:r>
      <w:r>
        <w:rPr>
          <w:rFonts w:ascii="宋体" w:hAnsi="宋体" w:cs="宋体"/>
          <w:b/>
          <w:lang w:val="en"/>
        </w:rPr>
        <w:t>五</w:t>
      </w:r>
      <w:r>
        <w:rPr>
          <w:rFonts w:hint="eastAsia" w:ascii="宋体" w:hAnsi="宋体" w:cs="宋体"/>
          <w:b/>
        </w:rPr>
        <w:t>）调查频率和时间</w:t>
      </w:r>
    </w:p>
    <w:p>
      <w:pPr>
        <w:autoSpaceDE w:val="0"/>
        <w:autoSpaceDN w:val="0"/>
        <w:adjustRightInd w:val="0"/>
        <w:snapToGrid w:val="0"/>
        <w:spacing w:line="400" w:lineRule="exact"/>
        <w:ind w:firstLine="420" w:firstLineChars="200"/>
        <w:textAlignment w:val="bottom"/>
        <w:rPr>
          <w:rFonts w:ascii="宋体" w:hAnsi="宋体" w:cs="宋体"/>
        </w:rPr>
      </w:pPr>
      <w:r>
        <w:rPr>
          <w:rFonts w:hint="eastAsia" w:ascii="宋体" w:hAnsi="宋体" w:cs="宋体"/>
        </w:rPr>
        <w:t>调查频率为月报。调查时间为1日至当月最后一日。</w:t>
      </w:r>
    </w:p>
    <w:p>
      <w:pPr>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w:t>
      </w:r>
      <w:r>
        <w:rPr>
          <w:rFonts w:ascii="宋体" w:hAnsi="宋体" w:cs="宋体"/>
          <w:b/>
          <w:lang w:val="en"/>
        </w:rPr>
        <w:t>六</w:t>
      </w:r>
      <w:r>
        <w:rPr>
          <w:rFonts w:hint="eastAsia" w:ascii="宋体" w:hAnsi="宋体" w:cs="宋体"/>
          <w:b/>
        </w:rPr>
        <w:t>）调查方法</w:t>
      </w:r>
    </w:p>
    <w:p>
      <w:pPr>
        <w:autoSpaceDE w:val="0"/>
        <w:autoSpaceDN w:val="0"/>
        <w:adjustRightInd w:val="0"/>
        <w:snapToGrid w:val="0"/>
        <w:spacing w:line="400" w:lineRule="exact"/>
        <w:ind w:firstLine="420" w:firstLineChars="200"/>
        <w:textAlignment w:val="bottom"/>
        <w:rPr>
          <w:rFonts w:ascii="宋体" w:hAnsi="宋体" w:cs="宋体"/>
        </w:rPr>
      </w:pPr>
      <w:r>
        <w:rPr>
          <w:rFonts w:hint="eastAsia" w:ascii="宋体" w:hAnsi="宋体" w:cs="宋体"/>
        </w:rPr>
        <w:t>本制度采用全面调查的方法。</w:t>
      </w:r>
    </w:p>
    <w:p>
      <w:pPr>
        <w:autoSpaceDE w:val="0"/>
        <w:autoSpaceDN w:val="0"/>
        <w:adjustRightInd w:val="0"/>
        <w:snapToGrid w:val="0"/>
        <w:spacing w:line="400" w:lineRule="exact"/>
        <w:ind w:firstLine="422" w:firstLineChars="200"/>
        <w:textAlignment w:val="bottom"/>
        <w:rPr>
          <w:rFonts w:ascii="宋体" w:hAnsi="宋体" w:cs="宋体"/>
          <w:b/>
          <w:lang w:val="en"/>
        </w:rPr>
      </w:pPr>
      <w:r>
        <w:rPr>
          <w:rFonts w:hint="eastAsia" w:ascii="宋体" w:hAnsi="宋体" w:cs="宋体"/>
          <w:b/>
        </w:rPr>
        <w:t>（</w:t>
      </w:r>
      <w:r>
        <w:rPr>
          <w:rFonts w:ascii="宋体" w:hAnsi="宋体" w:cs="宋体"/>
          <w:b/>
          <w:lang w:val="en"/>
        </w:rPr>
        <w:t>七</w:t>
      </w:r>
      <w:r>
        <w:rPr>
          <w:rFonts w:hint="eastAsia" w:ascii="宋体" w:hAnsi="宋体" w:cs="宋体"/>
          <w:b/>
        </w:rPr>
        <w:t>）组织</w:t>
      </w:r>
      <w:r>
        <w:rPr>
          <w:rFonts w:ascii="宋体" w:hAnsi="宋体" w:cs="宋体"/>
          <w:b/>
          <w:lang w:val="en"/>
        </w:rPr>
        <w:t>实施方式</w:t>
      </w:r>
    </w:p>
    <w:p>
      <w:pPr>
        <w:pStyle w:val="2"/>
        <w:autoSpaceDE w:val="0"/>
        <w:autoSpaceDN w:val="0"/>
        <w:adjustRightInd w:val="0"/>
        <w:snapToGrid w:val="0"/>
        <w:spacing w:line="400" w:lineRule="exact"/>
        <w:ind w:firstLineChars="200"/>
        <w:textAlignment w:val="bottom"/>
        <w:rPr>
          <w:rFonts w:ascii="宋体" w:hAnsi="宋体" w:cs="宋体"/>
        </w:rPr>
      </w:pPr>
      <w:r>
        <w:rPr>
          <w:rFonts w:hint="eastAsia" w:ascii="宋体" w:hAnsi="宋体" w:cs="宋体"/>
        </w:rPr>
        <w:t xml:space="preserve">1、组织方式：对外劳务合作业务统计实行统一领导，分级管理。 </w:t>
      </w:r>
    </w:p>
    <w:p>
      <w:pPr>
        <w:pStyle w:val="2"/>
        <w:autoSpaceDE w:val="0"/>
        <w:autoSpaceDN w:val="0"/>
        <w:adjustRightInd w:val="0"/>
        <w:snapToGrid w:val="0"/>
        <w:spacing w:line="400" w:lineRule="exact"/>
        <w:ind w:firstLineChars="200"/>
        <w:textAlignment w:val="bottom"/>
        <w:rPr>
          <w:rFonts w:ascii="宋体" w:hAnsi="宋体" w:cs="宋体"/>
        </w:rPr>
      </w:pPr>
      <w:r>
        <w:rPr>
          <w:rFonts w:hint="eastAsia" w:ascii="宋体" w:hAnsi="宋体" w:cs="宋体"/>
        </w:rPr>
        <w:t xml:space="preserve">（1）商务部负责全国对外劳务合作业务统计工作，管理各省、自治区、直辖市、计划单列市商务主管部门的对外劳务合作业务统计工作，综合编制、汇总全国对外劳务合作业务统计资料。 </w:t>
      </w:r>
    </w:p>
    <w:p>
      <w:pPr>
        <w:pStyle w:val="2"/>
        <w:autoSpaceDE w:val="0"/>
        <w:autoSpaceDN w:val="0"/>
        <w:adjustRightInd w:val="0"/>
        <w:snapToGrid w:val="0"/>
        <w:spacing w:line="400" w:lineRule="exact"/>
        <w:ind w:firstLineChars="200"/>
        <w:textAlignment w:val="bottom"/>
        <w:rPr>
          <w:rFonts w:ascii="宋体" w:hAnsi="宋体" w:cs="宋体"/>
        </w:rPr>
      </w:pPr>
      <w:r>
        <w:rPr>
          <w:rFonts w:hint="eastAsia" w:ascii="宋体" w:hAnsi="宋体" w:cs="宋体"/>
        </w:rPr>
        <w:t>（2）地方商务主管部门负责本行政区域内对外劳务合作业务统计工作，管理本行政区域内企业（包括在该行政区域内中央管理的企业，下同）的统计工作，综合编制、汇总并向商务部上报本行政区域内对外劳务合作统计资料。</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rPr>
        <w:t>（3）企业负责本单位的对外劳务合作业务统计工作，编制统计资料并上报地方商务主管部门。</w:t>
      </w:r>
    </w:p>
    <w:p>
      <w:pPr>
        <w:pStyle w:val="2"/>
        <w:tabs>
          <w:tab w:val="clear" w:pos="756"/>
        </w:tabs>
        <w:autoSpaceDE w:val="0"/>
        <w:autoSpaceDN w:val="0"/>
        <w:adjustRightInd w:val="0"/>
        <w:snapToGrid w:val="0"/>
        <w:spacing w:line="400" w:lineRule="exact"/>
        <w:ind w:left="0" w:leftChars="0" w:firstLine="218" w:firstLineChars="104"/>
        <w:textAlignment w:val="bottom"/>
        <w:rPr>
          <w:rFonts w:ascii="宋体" w:hAnsi="宋体" w:cs="宋体"/>
        </w:rPr>
      </w:pPr>
      <w:r>
        <w:rPr>
          <w:rFonts w:hint="eastAsia" w:ascii="宋体" w:hAnsi="宋体" w:cs="宋体"/>
          <w:bCs/>
          <w:kern w:val="0"/>
          <w:szCs w:val="21"/>
        </w:rPr>
        <w:t>2、报送渠道：企业按属地化原则报地方商务主管部门；地方商务主管部门审核、汇总本行政区域内企业的报表并报商务部，同时抄报同级统计部门；商务部汇总全国数据后报国家统计局。逢国家法定的节假日，统计报表的报送时间顺延。</w:t>
      </w:r>
    </w:p>
    <w:p>
      <w:pPr>
        <w:autoSpaceDE w:val="0"/>
        <w:autoSpaceDN w:val="0"/>
        <w:adjustRightInd w:val="0"/>
        <w:snapToGrid w:val="0"/>
        <w:spacing w:line="400" w:lineRule="exact"/>
        <w:ind w:left="0" w:leftChars="0" w:firstLine="219" w:firstLineChars="104"/>
        <w:textAlignment w:val="bottom"/>
        <w:rPr>
          <w:rFonts w:ascii="宋体" w:hAnsi="宋体" w:cs="宋体"/>
          <w:b/>
        </w:rPr>
      </w:pPr>
      <w:r>
        <w:rPr>
          <w:rFonts w:hint="eastAsia" w:ascii="宋体" w:hAnsi="宋体" w:cs="宋体"/>
          <w:b/>
        </w:rPr>
        <w:t>（</w:t>
      </w:r>
      <w:r>
        <w:rPr>
          <w:rFonts w:ascii="宋体" w:hAnsi="宋体" w:cs="宋体"/>
          <w:b/>
          <w:lang w:val="en"/>
        </w:rPr>
        <w:t>八</w:t>
      </w:r>
      <w:r>
        <w:rPr>
          <w:rFonts w:hint="eastAsia" w:ascii="宋体" w:hAnsi="宋体" w:cs="宋体"/>
          <w:b/>
        </w:rPr>
        <w:t>）质量控制</w:t>
      </w:r>
    </w:p>
    <w:p>
      <w:pPr>
        <w:autoSpaceDE w:val="0"/>
        <w:autoSpaceDN w:val="0"/>
        <w:adjustRightInd w:val="0"/>
        <w:snapToGrid w:val="0"/>
        <w:spacing w:line="380" w:lineRule="exact"/>
        <w:ind w:left="0" w:leftChars="0" w:firstLine="218" w:firstLineChars="104"/>
        <w:textAlignment w:val="bottom"/>
        <w:rPr>
          <w:rFonts w:ascii="宋体" w:hAnsi="宋体" w:cs="宋体"/>
          <w:bCs/>
          <w:kern w:val="0"/>
          <w:szCs w:val="21"/>
        </w:rPr>
      </w:pPr>
      <w:r>
        <w:rPr>
          <w:rFonts w:ascii="宋体" w:hAnsi="宋体" w:cs="宋体"/>
          <w:bCs/>
          <w:kern w:val="0"/>
          <w:szCs w:val="21"/>
          <w:lang w:val="en"/>
        </w:rPr>
        <w:t>1、</w:t>
      </w:r>
      <w:r>
        <w:rPr>
          <w:rFonts w:hint="eastAsia" w:ascii="宋体" w:hAnsi="宋体" w:cs="宋体"/>
          <w:bCs/>
          <w:kern w:val="0"/>
          <w:szCs w:val="21"/>
        </w:rPr>
        <w:t>企业要认真履行对外劳务合作统计报表填报义务，明确统计责任，不得虚报、瞒报、漏报、重报统计数据。</w:t>
      </w:r>
    </w:p>
    <w:p>
      <w:pPr>
        <w:autoSpaceDE w:val="0"/>
        <w:autoSpaceDN w:val="0"/>
        <w:adjustRightInd w:val="0"/>
        <w:snapToGrid w:val="0"/>
        <w:spacing w:line="380" w:lineRule="exact"/>
        <w:ind w:left="0" w:leftChars="0" w:firstLine="218" w:firstLineChars="104"/>
        <w:textAlignment w:val="bottom"/>
        <w:rPr>
          <w:rFonts w:ascii="宋体" w:hAnsi="宋体" w:cs="宋体"/>
        </w:rPr>
      </w:pPr>
      <w:r>
        <w:rPr>
          <w:rFonts w:ascii="宋体" w:hAnsi="宋体" w:cs="宋体"/>
          <w:lang w:val="en"/>
        </w:rPr>
        <w:t>2</w:t>
      </w:r>
      <w:r>
        <w:rPr>
          <w:rFonts w:hint="eastAsia" w:ascii="宋体" w:hAnsi="宋体" w:cs="宋体"/>
        </w:rPr>
        <w:t>、派出人数、月末在外人数属本制度关键统计指标，企业应按月进行重点核实，及时对人员增减变化情况进行调整，保证数据准确无误。</w:t>
      </w:r>
    </w:p>
    <w:p>
      <w:pPr>
        <w:autoSpaceDE w:val="0"/>
        <w:autoSpaceDN w:val="0"/>
        <w:adjustRightInd w:val="0"/>
        <w:snapToGrid w:val="0"/>
        <w:spacing w:line="380" w:lineRule="exact"/>
        <w:ind w:left="0" w:leftChars="0" w:firstLine="218" w:firstLineChars="104"/>
        <w:textAlignment w:val="bottom"/>
        <w:rPr>
          <w:rFonts w:ascii="宋体" w:hAnsi="宋体" w:cs="宋体"/>
          <w:szCs w:val="21"/>
        </w:rPr>
      </w:pPr>
      <w:r>
        <w:rPr>
          <w:rFonts w:ascii="宋体" w:hAnsi="宋体" w:cs="宋体"/>
          <w:lang w:val="en"/>
        </w:rPr>
        <w:t>3</w:t>
      </w:r>
      <w:r>
        <w:rPr>
          <w:rFonts w:hint="eastAsia" w:ascii="宋体" w:hAnsi="宋体" w:cs="宋体"/>
        </w:rPr>
        <w:t>、</w:t>
      </w:r>
      <w:r>
        <w:rPr>
          <w:rFonts w:hint="eastAsia" w:ascii="宋体" w:hAnsi="宋体" w:cs="宋体"/>
          <w:bCs/>
          <w:szCs w:val="21"/>
        </w:rPr>
        <w:t>各省级商务主管部门应定期开展对外劳务合作业务统计培训，将</w:t>
      </w:r>
      <w:r>
        <w:rPr>
          <w:rFonts w:hint="eastAsia" w:ascii="宋体" w:hAnsi="宋体" w:cs="宋体"/>
          <w:kern w:val="0"/>
          <w:szCs w:val="21"/>
          <w:lang w:bidi="ar"/>
        </w:rPr>
        <w:t>学习和贯彻</w:t>
      </w:r>
      <w:r>
        <w:rPr>
          <w:rStyle w:val="9"/>
          <w:rFonts w:hint="eastAsia" w:ascii="宋体" w:hAnsi="宋体" w:cs="宋体"/>
          <w:color w:val="auto"/>
          <w:kern w:val="0"/>
          <w:sz w:val="21"/>
          <w:szCs w:val="21"/>
          <w:lang w:bidi="ar"/>
        </w:rPr>
        <w:t>统计</w:t>
      </w:r>
      <w:r>
        <w:rPr>
          <w:rFonts w:hint="eastAsia" w:ascii="宋体" w:hAnsi="宋体" w:cs="宋体"/>
          <w:kern w:val="0"/>
          <w:szCs w:val="21"/>
          <w:lang w:bidi="ar"/>
        </w:rPr>
        <w:t>法律法规纳入培训内容，切实夯实防范和惩治</w:t>
      </w:r>
      <w:r>
        <w:rPr>
          <w:rStyle w:val="9"/>
          <w:rFonts w:hint="eastAsia" w:ascii="宋体" w:hAnsi="宋体" w:cs="宋体"/>
          <w:color w:val="auto"/>
          <w:kern w:val="0"/>
          <w:sz w:val="21"/>
          <w:szCs w:val="21"/>
          <w:lang w:bidi="ar"/>
        </w:rPr>
        <w:t>统计</w:t>
      </w:r>
      <w:r>
        <w:rPr>
          <w:rFonts w:hint="eastAsia" w:ascii="宋体" w:hAnsi="宋体" w:cs="宋体"/>
          <w:kern w:val="0"/>
          <w:szCs w:val="21"/>
          <w:lang w:bidi="ar"/>
        </w:rPr>
        <w:t>造假、弄虚作假责任制，提高</w:t>
      </w:r>
      <w:r>
        <w:rPr>
          <w:rStyle w:val="9"/>
          <w:rFonts w:hint="eastAsia" w:ascii="宋体" w:hAnsi="宋体" w:cs="宋体"/>
          <w:color w:val="auto"/>
          <w:kern w:val="0"/>
          <w:sz w:val="21"/>
          <w:szCs w:val="21"/>
          <w:lang w:bidi="ar"/>
        </w:rPr>
        <w:t>统计</w:t>
      </w:r>
      <w:r>
        <w:rPr>
          <w:rFonts w:hint="eastAsia" w:ascii="宋体" w:hAnsi="宋体" w:cs="宋体"/>
          <w:kern w:val="0"/>
          <w:szCs w:val="21"/>
          <w:lang w:bidi="ar"/>
        </w:rPr>
        <w:t>数据质量。</w:t>
      </w:r>
    </w:p>
    <w:p>
      <w:pPr>
        <w:pStyle w:val="2"/>
        <w:tabs>
          <w:tab w:val="clear" w:pos="756"/>
        </w:tabs>
        <w:autoSpaceDE w:val="0"/>
        <w:autoSpaceDN w:val="0"/>
        <w:adjustRightInd w:val="0"/>
        <w:snapToGrid w:val="0"/>
        <w:spacing w:line="380" w:lineRule="exact"/>
        <w:ind w:left="0" w:leftChars="0" w:firstLine="218" w:firstLineChars="104"/>
        <w:textAlignment w:val="bottom"/>
        <w:rPr>
          <w:rFonts w:ascii="宋体" w:hAnsi="宋体" w:cs="宋体"/>
          <w:bCs/>
          <w:kern w:val="0"/>
          <w:szCs w:val="21"/>
        </w:rPr>
      </w:pPr>
      <w:r>
        <w:rPr>
          <w:rFonts w:ascii="宋体" w:hAnsi="宋体" w:cs="宋体"/>
          <w:bCs/>
          <w:kern w:val="0"/>
          <w:szCs w:val="21"/>
          <w:lang w:val="en"/>
        </w:rPr>
        <w:t>4</w:t>
      </w:r>
      <w:r>
        <w:rPr>
          <w:rFonts w:hint="eastAsia" w:ascii="宋体" w:hAnsi="宋体" w:cs="宋体"/>
          <w:bCs/>
          <w:kern w:val="0"/>
          <w:szCs w:val="21"/>
          <w:lang w:val="en"/>
        </w:rPr>
        <w:t>、</w:t>
      </w:r>
      <w:r>
        <w:rPr>
          <w:rFonts w:hint="eastAsia" w:ascii="宋体" w:hAnsi="宋体" w:cs="宋体"/>
          <w:bCs/>
          <w:szCs w:val="21"/>
        </w:rPr>
        <w:t>企业是否按照统计制度要求报送对外劳务合作业务统计资料，已列入商务部市场监管执法事项“双随机、一公开”抽查内容。</w:t>
      </w:r>
    </w:p>
    <w:p>
      <w:pPr>
        <w:autoSpaceDE w:val="0"/>
        <w:autoSpaceDN w:val="0"/>
        <w:adjustRightInd w:val="0"/>
        <w:snapToGrid w:val="0"/>
        <w:spacing w:line="380" w:lineRule="exact"/>
        <w:ind w:left="0" w:leftChars="0" w:firstLine="218" w:firstLineChars="104"/>
        <w:textAlignment w:val="bottom"/>
        <w:rPr>
          <w:rFonts w:ascii="宋体" w:hAnsi="宋体" w:cs="宋体"/>
          <w:bCs/>
          <w:szCs w:val="21"/>
        </w:rPr>
      </w:pPr>
      <w:r>
        <w:rPr>
          <w:rFonts w:ascii="宋体" w:hAnsi="宋体" w:cs="宋体"/>
          <w:bCs/>
          <w:kern w:val="0"/>
          <w:szCs w:val="21"/>
          <w:lang w:val="en"/>
        </w:rPr>
        <w:t>5</w:t>
      </w:r>
      <w:r>
        <w:rPr>
          <w:rFonts w:hint="eastAsia" w:ascii="宋体" w:hAnsi="宋体" w:cs="宋体"/>
          <w:bCs/>
          <w:kern w:val="0"/>
          <w:szCs w:val="21"/>
        </w:rPr>
        <w:t>、各级商务主管部门和企业应加强数据传输的现代化建设，充分运用网络传输手段，全面提高统计工作质量。商务部不定期对企业报送的统计数据进行核查，以保证统计数据的准确性和严肃性。</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rPr>
        <w:t>（</w:t>
      </w:r>
      <w:r>
        <w:rPr>
          <w:rFonts w:ascii="宋体" w:hAnsi="宋体" w:cs="宋体"/>
          <w:b/>
          <w:lang w:val="en"/>
        </w:rPr>
        <w:t>九</w:t>
      </w:r>
      <w:r>
        <w:rPr>
          <w:rFonts w:hint="eastAsia" w:ascii="宋体" w:hAnsi="宋体" w:cs="宋体"/>
          <w:b/>
        </w:rPr>
        <w:t>）</w:t>
      </w:r>
      <w:r>
        <w:rPr>
          <w:rFonts w:ascii="宋体" w:hAnsi="宋体" w:cs="宋体"/>
          <w:b/>
          <w:lang w:val="en"/>
        </w:rPr>
        <w:t>报送要求</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ascii="宋体" w:hAnsi="宋体" w:cs="宋体"/>
          <w:bCs/>
          <w:szCs w:val="21"/>
          <w:lang w:val="en"/>
        </w:rPr>
        <w:t>1</w:t>
      </w:r>
      <w:r>
        <w:rPr>
          <w:rFonts w:hint="eastAsia" w:ascii="宋体" w:hAnsi="宋体" w:cs="宋体"/>
          <w:bCs/>
          <w:szCs w:val="21"/>
        </w:rPr>
        <w:t>、月后10日内，由调查范围内企业通过登录商务部业务系统统一平台（http://ecomp.mofcom.gov.cn）--对外投资合作信息服务，填报前一个月的数据。</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ascii="宋体" w:hAnsi="宋体" w:cs="宋体"/>
          <w:bCs/>
          <w:szCs w:val="21"/>
          <w:lang w:val="en"/>
        </w:rPr>
        <w:t>2</w:t>
      </w:r>
      <w:r>
        <w:rPr>
          <w:rFonts w:hint="eastAsia" w:ascii="宋体" w:hAnsi="宋体" w:cs="宋体"/>
          <w:bCs/>
          <w:szCs w:val="21"/>
        </w:rPr>
        <w:t>、本制度使用的国别（地区）统计代码，按国家统计局制定的《国别（地区）统计代码》执行。</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lang w:val="en"/>
        </w:rPr>
        <w:t>（十）统计资料的管理</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1、企业应当按照国家有关规定设置原始记录、统计台账，建立健全统计资料的审核、签署、交接、归档等管理制度。 </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2、各省级商务主管部门应当按照国家有关规定建立统计资料的保存、管理制度，建立健全统计信息共享机制。</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3、统计机构和统计人员对在统计工作中知悉的国家秘密、商业秘密和个人信息，应当予以保密。</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4、统计调查中获得的能够识别或者推断单个统计调查对象身份的资料，任何单位和个人不得对外提供、泄露，不得用于统计以外的目的。</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5、各省级商务主管部门和企业应加强跨境数据信息管理，遵守境内外数据信息保护规定和要求，依法合规收集、存储、使用统计数据信息。</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rPr>
        <w:t>（</w:t>
      </w:r>
      <w:r>
        <w:rPr>
          <w:rFonts w:ascii="宋体" w:hAnsi="宋体" w:cs="宋体"/>
          <w:b/>
          <w:lang w:val="en"/>
        </w:rPr>
        <w:t>十一</w:t>
      </w:r>
      <w:r>
        <w:rPr>
          <w:rFonts w:hint="eastAsia" w:ascii="宋体" w:hAnsi="宋体" w:cs="宋体"/>
          <w:b/>
        </w:rPr>
        <w:t>）</w:t>
      </w:r>
      <w:r>
        <w:rPr>
          <w:rFonts w:ascii="宋体" w:hAnsi="宋体" w:cs="宋体"/>
          <w:b/>
          <w:lang w:val="en"/>
        </w:rPr>
        <w:t>信息共享</w:t>
      </w:r>
    </w:p>
    <w:p>
      <w:pPr>
        <w:autoSpaceDE w:val="0"/>
        <w:autoSpaceDN w:val="0"/>
        <w:adjustRightInd w:val="0"/>
        <w:snapToGrid w:val="0"/>
        <w:spacing w:line="400" w:lineRule="exact"/>
        <w:ind w:left="0" w:leftChars="0" w:firstLine="420" w:firstLineChars="200"/>
        <w:textAlignment w:val="bottom"/>
        <w:rPr>
          <w:rFonts w:ascii="宋体" w:hAnsi="宋体" w:cs="宋体"/>
          <w:bCs/>
          <w:kern w:val="0"/>
          <w:szCs w:val="21"/>
        </w:rPr>
      </w:pPr>
      <w:r>
        <w:rPr>
          <w:rFonts w:hint="eastAsia" w:ascii="宋体" w:hAnsi="宋体" w:cs="宋体"/>
          <w:bCs/>
          <w:kern w:val="0"/>
          <w:szCs w:val="21"/>
          <w:lang w:val="en"/>
        </w:rPr>
        <w:t>经批准对外发布的数据，</w:t>
      </w:r>
      <w:r>
        <w:rPr>
          <w:rFonts w:ascii="宋体" w:hAnsi="宋体" w:cs="宋体"/>
          <w:bCs/>
          <w:kern w:val="0"/>
          <w:szCs w:val="21"/>
          <w:lang w:val="en"/>
        </w:rPr>
        <w:t>可</w:t>
      </w:r>
      <w:r>
        <w:rPr>
          <w:rFonts w:hint="eastAsia" w:ascii="宋体" w:hAnsi="宋体" w:cs="宋体"/>
          <w:bCs/>
          <w:kern w:val="0"/>
          <w:szCs w:val="21"/>
          <w:lang w:val="en"/>
        </w:rPr>
        <w:t>按照协定方式</w:t>
      </w:r>
      <w:r>
        <w:rPr>
          <w:rFonts w:ascii="宋体" w:hAnsi="宋体" w:cs="宋体"/>
          <w:bCs/>
          <w:kern w:val="0"/>
          <w:szCs w:val="21"/>
          <w:lang w:val="en"/>
        </w:rPr>
        <w:t>与</w:t>
      </w:r>
      <w:r>
        <w:rPr>
          <w:rFonts w:hint="eastAsia" w:ascii="宋体" w:hAnsi="宋体" w:cs="宋体"/>
          <w:bCs/>
          <w:kern w:val="0"/>
          <w:szCs w:val="21"/>
          <w:lang w:val="en"/>
        </w:rPr>
        <w:t>相关政府</w:t>
      </w:r>
      <w:r>
        <w:rPr>
          <w:rFonts w:ascii="宋体" w:hAnsi="宋体" w:cs="宋体"/>
          <w:bCs/>
          <w:kern w:val="0"/>
          <w:szCs w:val="21"/>
          <w:lang w:val="en"/>
        </w:rPr>
        <w:t>部门共享</w:t>
      </w:r>
      <w:r>
        <w:rPr>
          <w:rFonts w:hint="eastAsia" w:ascii="宋体" w:hAnsi="宋体" w:cs="宋体"/>
          <w:bCs/>
          <w:kern w:val="0"/>
          <w:szCs w:val="21"/>
          <w:lang w:val="en"/>
        </w:rPr>
        <w:t>。在最终审定数据十个工作日后可以共享，</w:t>
      </w:r>
      <w:r>
        <w:rPr>
          <w:rFonts w:ascii="宋体" w:hAnsi="宋体" w:cs="宋体"/>
          <w:bCs/>
          <w:kern w:val="0"/>
          <w:szCs w:val="21"/>
          <w:lang w:val="en"/>
        </w:rPr>
        <w:t>共享责任单位为商务部对外投资和经济合作司</w:t>
      </w:r>
      <w:r>
        <w:rPr>
          <w:rFonts w:hint="eastAsia" w:ascii="宋体" w:hAnsi="宋体" w:cs="宋体"/>
          <w:bCs/>
          <w:kern w:val="0"/>
          <w:szCs w:val="21"/>
          <w:lang w:val="en"/>
        </w:rPr>
        <w:t>，共享责任人为商务部对外投资和经济合作司统计工作负责人</w:t>
      </w:r>
      <w:r>
        <w:rPr>
          <w:rFonts w:hint="eastAsia" w:ascii="宋体" w:hAnsi="宋体" w:cs="宋体"/>
          <w:bCs/>
          <w:kern w:val="0"/>
          <w:szCs w:val="21"/>
        </w:rPr>
        <w:t>。</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rPr>
        <w:t>（</w:t>
      </w:r>
      <w:r>
        <w:rPr>
          <w:rFonts w:ascii="宋体" w:hAnsi="宋体" w:cs="宋体"/>
          <w:b/>
          <w:lang w:val="en"/>
        </w:rPr>
        <w:t>十</w:t>
      </w:r>
      <w:r>
        <w:rPr>
          <w:rFonts w:hint="eastAsia" w:ascii="宋体" w:hAnsi="宋体" w:cs="宋体"/>
          <w:b/>
          <w:lang w:val="en"/>
        </w:rPr>
        <w:t>二</w:t>
      </w:r>
      <w:r>
        <w:rPr>
          <w:rFonts w:hint="eastAsia" w:ascii="宋体" w:hAnsi="宋体" w:cs="宋体"/>
          <w:b/>
        </w:rPr>
        <w:t>）统计资料公布</w:t>
      </w:r>
    </w:p>
    <w:p>
      <w:pPr>
        <w:autoSpaceDE w:val="0"/>
        <w:autoSpaceDN w:val="0"/>
        <w:adjustRightInd w:val="0"/>
        <w:snapToGrid w:val="0"/>
        <w:spacing w:line="400" w:lineRule="exact"/>
        <w:ind w:left="0" w:leftChars="0" w:firstLine="218" w:firstLineChars="104"/>
        <w:textAlignment w:val="bottom"/>
        <w:rPr>
          <w:rFonts w:ascii="宋体" w:hAnsi="宋体" w:cs="宋体"/>
        </w:rPr>
      </w:pPr>
      <w:r>
        <w:rPr>
          <w:rFonts w:hint="eastAsia" w:ascii="宋体" w:hAnsi="宋体" w:cs="宋体"/>
          <w:bCs/>
          <w:kern w:val="0"/>
          <w:szCs w:val="21"/>
        </w:rPr>
        <w:t>1、对外劳务合作业务统计数据由商务部定期发布，月度数据于月后30日内，通过商务部政府网站(http://www.mofcom.gov.cn)或商务部例行发布会对外公布，主要指标包括派出人数、期末在外人数等。</w:t>
      </w:r>
    </w:p>
    <w:p>
      <w:pPr>
        <w:autoSpaceDE w:val="0"/>
        <w:autoSpaceDN w:val="0"/>
        <w:adjustRightInd w:val="0"/>
        <w:snapToGrid w:val="0"/>
        <w:spacing w:line="400" w:lineRule="exact"/>
        <w:ind w:left="0" w:leftChars="0" w:firstLine="218" w:firstLineChars="104"/>
        <w:textAlignment w:val="bottom"/>
        <w:rPr>
          <w:rFonts w:ascii="宋体" w:hAnsi="宋体" w:cs="宋体"/>
          <w:bCs/>
          <w:kern w:val="0"/>
          <w:szCs w:val="21"/>
          <w:lang w:val="en"/>
        </w:rPr>
      </w:pPr>
      <w:r>
        <w:rPr>
          <w:rFonts w:hint="eastAsia" w:ascii="宋体" w:hAnsi="宋体" w:cs="宋体"/>
          <w:bCs/>
          <w:kern w:val="0"/>
          <w:szCs w:val="21"/>
        </w:rPr>
        <w:t>2</w:t>
      </w:r>
      <w:r>
        <w:rPr>
          <w:rFonts w:hint="eastAsia" w:ascii="宋体" w:hAnsi="宋体" w:cs="宋体"/>
          <w:bCs/>
          <w:kern w:val="0"/>
          <w:szCs w:val="21"/>
          <w:lang w:val="en"/>
        </w:rPr>
        <w:t>、对外提供的对外劳务合作业务统计资料，以商务部发布的统计资料为准。</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rPr>
        <w:t>（十三）</w:t>
      </w:r>
      <w:r>
        <w:rPr>
          <w:rFonts w:hint="eastAsia" w:ascii="宋体" w:hAnsi="宋体" w:cs="宋体"/>
          <w:b/>
          <w:lang w:val="en"/>
        </w:rPr>
        <w:t>使用名录</w:t>
      </w:r>
      <w:r>
        <w:rPr>
          <w:rFonts w:hint="eastAsia"/>
          <w:b/>
          <w:lang w:val="en"/>
        </w:rPr>
        <w:t>库</w:t>
      </w:r>
      <w:r>
        <w:rPr>
          <w:rFonts w:hint="eastAsia" w:ascii="宋体" w:hAnsi="宋体" w:cs="宋体"/>
          <w:b/>
          <w:lang w:val="en"/>
        </w:rPr>
        <w:t>情况</w:t>
      </w:r>
    </w:p>
    <w:p>
      <w:pPr>
        <w:autoSpaceDE w:val="0"/>
        <w:autoSpaceDN w:val="0"/>
        <w:adjustRightInd w:val="0"/>
        <w:snapToGrid w:val="0"/>
        <w:spacing w:line="400" w:lineRule="exact"/>
        <w:ind w:firstLine="420" w:firstLineChars="200"/>
        <w:textAlignment w:val="bottom"/>
        <w:rPr>
          <w:rFonts w:ascii="宋体" w:hAnsi="宋体" w:cs="宋体"/>
          <w:bCs/>
          <w:kern w:val="0"/>
          <w:szCs w:val="21"/>
        </w:rPr>
      </w:pPr>
      <w:r>
        <w:rPr>
          <w:rFonts w:hint="eastAsia" w:ascii="宋体" w:hAnsi="宋体" w:cs="宋体"/>
          <w:bCs/>
          <w:kern w:val="0"/>
          <w:szCs w:val="21"/>
        </w:rPr>
        <w:t>无。</w:t>
      </w:r>
    </w:p>
    <w:p>
      <w:pPr>
        <w:jc w:val="center"/>
        <w:rPr>
          <w:rFonts w:ascii="黑体" w:eastAsia="黑体"/>
          <w:sz w:val="32"/>
          <w:szCs w:val="32"/>
        </w:rPr>
      </w:pPr>
      <w:r>
        <w:rPr>
          <w:rFonts w:hint="eastAsia" w:ascii="黑体" w:eastAsia="黑体"/>
          <w:sz w:val="32"/>
          <w:szCs w:val="32"/>
        </w:rPr>
        <w:t>二、报 表 目 录</w:t>
      </w:r>
    </w:p>
    <w:p>
      <w:pPr>
        <w:rPr>
          <w:rFonts w:ascii="黑体" w:eastAsia="黑体"/>
          <w:sz w:val="28"/>
          <w:szCs w:val="28"/>
        </w:rPr>
      </w:pPr>
    </w:p>
    <w:tbl>
      <w:tblPr>
        <w:tblStyle w:val="6"/>
        <w:tblW w:w="100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9"/>
        <w:gridCol w:w="2749"/>
        <w:gridCol w:w="748"/>
        <w:gridCol w:w="1689"/>
        <w:gridCol w:w="1679"/>
        <w:gridCol w:w="1498"/>
        <w:gridCol w:w="9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729" w:type="dxa"/>
            <w:tcBorders>
              <w:tl2br w:val="nil"/>
              <w:tr2bl w:val="nil"/>
            </w:tcBorders>
            <w:noWrap w:val="0"/>
            <w:vAlign w:val="center"/>
          </w:tcPr>
          <w:p>
            <w:pPr>
              <w:ind w:left="-178" w:leftChars="-85" w:right="-105" w:rightChars="-50"/>
              <w:jc w:val="center"/>
              <w:rPr>
                <w:rFonts w:ascii="宋体" w:hAnsi="宋体"/>
                <w:bCs/>
                <w:sz w:val="18"/>
                <w:szCs w:val="18"/>
              </w:rPr>
            </w:pPr>
            <w:r>
              <w:rPr>
                <w:rFonts w:hint="eastAsia" w:ascii="宋体" w:hAnsi="宋体"/>
                <w:bCs/>
                <w:sz w:val="18"/>
                <w:szCs w:val="18"/>
              </w:rPr>
              <w:t>表号</w:t>
            </w:r>
          </w:p>
        </w:tc>
        <w:tc>
          <w:tcPr>
            <w:tcW w:w="2749" w:type="dxa"/>
            <w:tcBorders>
              <w:tl2br w:val="nil"/>
              <w:tr2bl w:val="nil"/>
            </w:tcBorders>
            <w:noWrap w:val="0"/>
            <w:vAlign w:val="center"/>
          </w:tcPr>
          <w:p>
            <w:pPr>
              <w:ind w:left="-105" w:leftChars="-50" w:right="-105" w:rightChars="-50"/>
              <w:jc w:val="center"/>
              <w:rPr>
                <w:rFonts w:ascii="宋体" w:hAnsi="宋体"/>
                <w:bCs/>
                <w:sz w:val="18"/>
                <w:szCs w:val="18"/>
              </w:rPr>
            </w:pPr>
            <w:r>
              <w:rPr>
                <w:rFonts w:hint="eastAsia" w:ascii="宋体" w:hAnsi="宋体"/>
                <w:bCs/>
                <w:sz w:val="18"/>
                <w:szCs w:val="18"/>
              </w:rPr>
              <w:t>表    名</w:t>
            </w:r>
          </w:p>
        </w:tc>
        <w:tc>
          <w:tcPr>
            <w:tcW w:w="748" w:type="dxa"/>
            <w:tcBorders>
              <w:tl2br w:val="nil"/>
              <w:tr2bl w:val="nil"/>
            </w:tcBorders>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报告</w:t>
            </w:r>
          </w:p>
          <w:p>
            <w:pPr>
              <w:ind w:left="-109" w:leftChars="-52" w:right="-107" w:rightChars="-51"/>
              <w:jc w:val="center"/>
              <w:rPr>
                <w:rFonts w:ascii="宋体" w:hAnsi="宋体"/>
                <w:bCs/>
                <w:sz w:val="18"/>
                <w:szCs w:val="18"/>
              </w:rPr>
            </w:pPr>
            <w:r>
              <w:rPr>
                <w:rFonts w:hint="eastAsia" w:ascii="宋体" w:hAnsi="宋体"/>
                <w:bCs/>
                <w:sz w:val="18"/>
                <w:szCs w:val="18"/>
              </w:rPr>
              <w:t>期别</w:t>
            </w:r>
          </w:p>
        </w:tc>
        <w:tc>
          <w:tcPr>
            <w:tcW w:w="1689" w:type="dxa"/>
            <w:tcBorders>
              <w:tl2br w:val="nil"/>
              <w:tr2bl w:val="nil"/>
            </w:tcBorders>
            <w:noWrap w:val="0"/>
            <w:vAlign w:val="center"/>
          </w:tcPr>
          <w:p>
            <w:pPr>
              <w:ind w:left="-107" w:leftChars="-51" w:right="-105" w:rightChars="-50"/>
              <w:jc w:val="center"/>
              <w:rPr>
                <w:rFonts w:ascii="宋体" w:hAnsi="宋体"/>
                <w:bCs/>
                <w:sz w:val="18"/>
                <w:szCs w:val="18"/>
              </w:rPr>
            </w:pPr>
            <w:r>
              <w:rPr>
                <w:rFonts w:hint="eastAsia" w:ascii="宋体" w:hAnsi="宋体"/>
                <w:bCs/>
                <w:sz w:val="18"/>
                <w:szCs w:val="18"/>
              </w:rPr>
              <w:t>填报范围</w:t>
            </w:r>
          </w:p>
        </w:tc>
        <w:tc>
          <w:tcPr>
            <w:tcW w:w="1679" w:type="dxa"/>
            <w:tcBorders>
              <w:tl2br w:val="nil"/>
              <w:tr2bl w:val="nil"/>
            </w:tcBorders>
            <w:noWrap w:val="0"/>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报送单位</w:t>
            </w:r>
          </w:p>
        </w:tc>
        <w:tc>
          <w:tcPr>
            <w:tcW w:w="1498" w:type="dxa"/>
            <w:tcBorders>
              <w:tl2br w:val="nil"/>
              <w:tr2bl w:val="nil"/>
            </w:tcBorders>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报送日期</w:t>
            </w:r>
          </w:p>
          <w:p>
            <w:pPr>
              <w:ind w:left="-107" w:leftChars="-51" w:right="-82" w:rightChars="-39"/>
              <w:jc w:val="center"/>
              <w:rPr>
                <w:rFonts w:ascii="宋体" w:hAnsi="宋体"/>
                <w:bCs/>
                <w:sz w:val="18"/>
                <w:szCs w:val="18"/>
              </w:rPr>
            </w:pPr>
            <w:r>
              <w:rPr>
                <w:rFonts w:hint="eastAsia" w:ascii="宋体" w:hAnsi="宋体"/>
                <w:bCs/>
                <w:sz w:val="18"/>
                <w:szCs w:val="18"/>
              </w:rPr>
              <w:t>及方式</w:t>
            </w:r>
          </w:p>
        </w:tc>
        <w:tc>
          <w:tcPr>
            <w:tcW w:w="935" w:type="dxa"/>
            <w:tcBorders>
              <w:tl2br w:val="nil"/>
              <w:tr2bl w:val="nil"/>
            </w:tcBorders>
            <w:noWrap w:val="0"/>
            <w:vAlign w:val="center"/>
          </w:tcPr>
          <w:p>
            <w:pPr>
              <w:ind w:right="-82" w:rightChars="-39"/>
              <w:jc w:val="center"/>
              <w:rPr>
                <w:rFonts w:ascii="宋体" w:hAnsi="宋体"/>
                <w:bCs/>
                <w:sz w:val="18"/>
                <w:szCs w:val="18"/>
              </w:rPr>
            </w:pPr>
            <w:r>
              <w:rPr>
                <w:rFonts w:hint="eastAsia" w:ascii="宋体" w:hAnsi="宋体"/>
                <w:bCs/>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3" w:hRule="atLeast"/>
        </w:trPr>
        <w:tc>
          <w:tcPr>
            <w:tcW w:w="729" w:type="dxa"/>
            <w:tcBorders>
              <w:tl2br w:val="nil"/>
              <w:tr2bl w:val="nil"/>
            </w:tcBorders>
            <w:noWrap w:val="0"/>
            <w:vAlign w:val="center"/>
          </w:tcPr>
          <w:p>
            <w:pPr>
              <w:jc w:val="center"/>
              <w:rPr>
                <w:rFonts w:ascii="宋体" w:hAnsi="宋体"/>
                <w:bCs/>
                <w:sz w:val="18"/>
                <w:szCs w:val="18"/>
              </w:rPr>
            </w:pPr>
            <w:r>
              <w:rPr>
                <w:rFonts w:hint="eastAsia" w:ascii="宋体" w:hAnsi="宋体"/>
                <w:bCs/>
                <w:sz w:val="18"/>
                <w:szCs w:val="18"/>
              </w:rPr>
              <w:t>LW1</w:t>
            </w:r>
          </w:p>
        </w:tc>
        <w:tc>
          <w:tcPr>
            <w:tcW w:w="2749" w:type="dxa"/>
            <w:tcBorders>
              <w:tl2br w:val="nil"/>
              <w:tr2bl w:val="nil"/>
            </w:tcBorders>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对外劳务合作派出人员构成</w:t>
            </w:r>
          </w:p>
        </w:tc>
        <w:tc>
          <w:tcPr>
            <w:tcW w:w="748" w:type="dxa"/>
            <w:tcBorders>
              <w:tl2br w:val="nil"/>
              <w:tr2bl w:val="nil"/>
            </w:tcBorders>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noWrap w:val="0"/>
            <w:vAlign w:val="center"/>
          </w:tcPr>
          <w:p>
            <w:pPr>
              <w:ind w:right="-105" w:rightChars="-50"/>
              <w:jc w:val="center"/>
              <w:rPr>
                <w:rFonts w:ascii="宋体" w:hAnsi="宋体" w:cs="宋体"/>
                <w:bCs/>
                <w:kern w:val="0"/>
                <w:sz w:val="18"/>
                <w:szCs w:val="18"/>
              </w:rPr>
            </w:pPr>
            <w:r>
              <w:rPr>
                <w:rFonts w:hint="eastAsia" w:ascii="宋体" w:hAnsi="宋体" w:cs="宋体"/>
                <w:bCs/>
                <w:kern w:val="0"/>
                <w:sz w:val="18"/>
                <w:szCs w:val="18"/>
              </w:rPr>
              <w:t xml:space="preserve">有对外劳务合作经营资格的企业   </w:t>
            </w:r>
          </w:p>
        </w:tc>
        <w:tc>
          <w:tcPr>
            <w:tcW w:w="1679" w:type="dxa"/>
            <w:tcBorders>
              <w:tl2br w:val="nil"/>
              <w:tr2bl w:val="nil"/>
            </w:tcBorders>
            <w:noWrap w:val="0"/>
            <w:vAlign w:val="center"/>
          </w:tcPr>
          <w:p>
            <w:pPr>
              <w:ind w:left="-107" w:leftChars="-52" w:right="-107" w:rightChars="-51" w:hanging="2"/>
              <w:jc w:val="center"/>
              <w:rPr>
                <w:rFonts w:ascii="宋体" w:hAnsi="宋体"/>
                <w:bCs/>
                <w:sz w:val="18"/>
                <w:szCs w:val="18"/>
              </w:rPr>
            </w:pPr>
            <w:r>
              <w:rPr>
                <w:rFonts w:hint="eastAsia" w:ascii="宋体" w:hAnsi="宋体" w:cs="宋体"/>
                <w:bCs/>
                <w:kern w:val="0"/>
                <w:sz w:val="18"/>
                <w:szCs w:val="18"/>
              </w:rPr>
              <w:t>有对外劳务合作经营资格的企业</w:t>
            </w:r>
          </w:p>
        </w:tc>
        <w:tc>
          <w:tcPr>
            <w:tcW w:w="1498" w:type="dxa"/>
            <w:tcBorders>
              <w:tl2br w:val="nil"/>
              <w:tr2bl w:val="nil"/>
            </w:tcBorders>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35" w:type="dxa"/>
            <w:tcBorders>
              <w:tl2br w:val="nil"/>
              <w:tr2bl w:val="nil"/>
            </w:tcBorders>
            <w:noWrap w:val="0"/>
            <w:vAlign w:val="center"/>
          </w:tcPr>
          <w:p>
            <w:pPr>
              <w:ind w:left="-107" w:leftChars="-51" w:right="-82" w:rightChars="-39"/>
              <w:jc w:val="center"/>
              <w:rPr>
                <w:rFonts w:hint="default" w:ascii="宋体" w:hAnsi="宋体" w:eastAsia="宋体"/>
                <w:bCs/>
                <w:sz w:val="18"/>
                <w:szCs w:val="18"/>
                <w:lang w:val="en-US" w:eastAsia="zh-CN"/>
              </w:rPr>
            </w:pPr>
            <w:r>
              <w:rPr>
                <w:rFonts w:hint="eastAsia" w:ascii="宋体" w:hAnsi="宋体"/>
                <w:bCs/>
                <w:sz w:val="18"/>
                <w:szCs w:val="18"/>
                <w:lang w:val="en-US" w:eastAsia="zh-CN"/>
              </w:rPr>
              <w:t>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2" w:hRule="atLeast"/>
        </w:trPr>
        <w:tc>
          <w:tcPr>
            <w:tcW w:w="729" w:type="dxa"/>
            <w:tcBorders>
              <w:tl2br w:val="nil"/>
              <w:tr2bl w:val="nil"/>
            </w:tcBorders>
            <w:noWrap w:val="0"/>
            <w:vAlign w:val="center"/>
          </w:tcPr>
          <w:p>
            <w:pPr>
              <w:jc w:val="center"/>
              <w:rPr>
                <w:rFonts w:ascii="宋体" w:hAnsi="宋体"/>
                <w:bCs/>
                <w:sz w:val="18"/>
                <w:szCs w:val="18"/>
              </w:rPr>
            </w:pPr>
            <w:r>
              <w:rPr>
                <w:rFonts w:hint="eastAsia" w:ascii="宋体" w:hAnsi="宋体"/>
                <w:bCs/>
                <w:sz w:val="18"/>
                <w:szCs w:val="18"/>
              </w:rPr>
              <w:t>LW2</w:t>
            </w:r>
          </w:p>
        </w:tc>
        <w:tc>
          <w:tcPr>
            <w:tcW w:w="2749" w:type="dxa"/>
            <w:tcBorders>
              <w:tl2br w:val="nil"/>
              <w:tr2bl w:val="nil"/>
            </w:tcBorders>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对外劳务合作期末在外人员构成</w:t>
            </w:r>
          </w:p>
        </w:tc>
        <w:tc>
          <w:tcPr>
            <w:tcW w:w="748" w:type="dxa"/>
            <w:tcBorders>
              <w:tl2br w:val="nil"/>
              <w:tr2bl w:val="nil"/>
            </w:tcBorders>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noWrap w:val="0"/>
            <w:vAlign w:val="top"/>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noWrap w:val="0"/>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noWrap w:val="0"/>
            <w:vAlign w:val="center"/>
          </w:tcPr>
          <w:p>
            <w:pPr>
              <w:ind w:left="-107" w:leftChars="-51" w:right="-82" w:rightChars="-39"/>
              <w:jc w:val="center"/>
              <w:rPr>
                <w:rFonts w:hint="default" w:ascii="宋体" w:hAnsi="宋体" w:eastAsia="宋体"/>
                <w:bCs/>
                <w:sz w:val="18"/>
                <w:szCs w:val="18"/>
                <w:lang w:val="en-US" w:eastAsia="zh-CN"/>
              </w:rPr>
            </w:pPr>
            <w:r>
              <w:rPr>
                <w:rFonts w:hint="eastAsia" w:ascii="宋体" w:hAnsi="宋体"/>
                <w:bCs/>
                <w:sz w:val="18"/>
                <w:szCs w:val="18"/>
                <w:lang w:val="en-US" w:eastAsia="zh-CN"/>
              </w:rPr>
              <w:t>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28" w:hRule="atLeast"/>
        </w:trPr>
        <w:tc>
          <w:tcPr>
            <w:tcW w:w="729" w:type="dxa"/>
            <w:tcBorders>
              <w:tl2br w:val="nil"/>
              <w:tr2bl w:val="nil"/>
            </w:tcBorders>
            <w:noWrap w:val="0"/>
            <w:vAlign w:val="center"/>
          </w:tcPr>
          <w:p>
            <w:pPr>
              <w:jc w:val="center"/>
              <w:rPr>
                <w:rFonts w:ascii="宋体" w:hAnsi="宋体"/>
                <w:bCs/>
                <w:sz w:val="18"/>
                <w:szCs w:val="18"/>
              </w:rPr>
            </w:pPr>
            <w:r>
              <w:rPr>
                <w:rFonts w:hint="eastAsia" w:ascii="宋体" w:hAnsi="宋体"/>
                <w:bCs/>
                <w:sz w:val="18"/>
                <w:szCs w:val="18"/>
              </w:rPr>
              <w:t>LW3</w:t>
            </w:r>
          </w:p>
        </w:tc>
        <w:tc>
          <w:tcPr>
            <w:tcW w:w="2749" w:type="dxa"/>
            <w:tcBorders>
              <w:tl2br w:val="nil"/>
              <w:tr2bl w:val="nil"/>
            </w:tcBorders>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对外劳务合作项目明细</w:t>
            </w:r>
          </w:p>
        </w:tc>
        <w:tc>
          <w:tcPr>
            <w:tcW w:w="748" w:type="dxa"/>
            <w:tcBorders>
              <w:tl2br w:val="nil"/>
              <w:tr2bl w:val="nil"/>
            </w:tcBorders>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noWrap w:val="0"/>
            <w:vAlign w:val="top"/>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noWrap w:val="0"/>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noWrap w:val="0"/>
            <w:vAlign w:val="center"/>
          </w:tcPr>
          <w:p>
            <w:pPr>
              <w:ind w:left="-107" w:leftChars="-51" w:right="-82" w:rightChars="-39"/>
              <w:jc w:val="center"/>
              <w:rPr>
                <w:rFonts w:hint="default" w:ascii="宋体" w:hAnsi="宋体" w:eastAsia="宋体"/>
                <w:bCs/>
                <w:sz w:val="18"/>
                <w:szCs w:val="18"/>
                <w:lang w:val="en-US" w:eastAsia="zh-CN"/>
              </w:rPr>
            </w:pPr>
            <w:r>
              <w:rPr>
                <w:rFonts w:hint="eastAsia" w:ascii="宋体" w:hAnsi="宋体"/>
                <w:bCs/>
                <w:sz w:val="18"/>
                <w:szCs w:val="18"/>
                <w:lang w:val="en-US" w:eastAsia="zh-CN"/>
              </w:rPr>
              <w:t>37</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
      <w:pPr>
        <w:ind w:right="2005" w:rightChars="955"/>
      </w:pPr>
    </w:p>
    <w:p/>
    <w:p/>
    <w:p/>
    <w:p/>
    <w:p>
      <w:pPr>
        <w:jc w:val="center"/>
        <w:rPr>
          <w:rFonts w:ascii="黑体" w:eastAsia="黑体"/>
          <w:sz w:val="32"/>
          <w:szCs w:val="32"/>
        </w:rPr>
      </w:pPr>
      <w:r>
        <w:rPr>
          <w:rFonts w:hint="eastAsia" w:ascii="黑体" w:eastAsia="黑体"/>
          <w:sz w:val="32"/>
          <w:szCs w:val="32"/>
        </w:rPr>
        <w:br w:type="page"/>
      </w:r>
      <w:r>
        <w:rPr>
          <w:rFonts w:hint="eastAsia" w:ascii="黑体" w:eastAsia="黑体"/>
          <w:sz w:val="32"/>
          <w:szCs w:val="32"/>
        </w:rPr>
        <w:t>三、调 查 表 式</w:t>
      </w:r>
    </w:p>
    <w:p>
      <w:pPr>
        <w:jc w:val="center"/>
        <w:rPr>
          <w:rFonts w:ascii="黑体" w:eastAsia="黑体"/>
          <w:sz w:val="32"/>
          <w:szCs w:val="32"/>
        </w:rPr>
      </w:pPr>
    </w:p>
    <w:p>
      <w:pPr>
        <w:jc w:val="center"/>
        <w:rPr>
          <w:rFonts w:ascii="宋体" w:hAnsi="宋体"/>
          <w:sz w:val="32"/>
          <w:szCs w:val="32"/>
        </w:rPr>
      </w:pPr>
      <w:r>
        <w:rPr>
          <w:rFonts w:hint="eastAsia" w:ascii="宋体" w:hAnsi="宋体"/>
          <w:sz w:val="32"/>
          <w:szCs w:val="32"/>
        </w:rPr>
        <w:t>对外劳务合作派出人员构成</w:t>
      </w:r>
    </w:p>
    <w:tbl>
      <w:tblPr>
        <w:tblStyle w:val="6"/>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号：LW1</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有效期至：2024年12月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26"/>
        <w:jc w:val="center"/>
        <w:rPr>
          <w:rFonts w:ascii="宋体" w:hAnsi="宋体"/>
          <w:bCs/>
          <w:sz w:val="18"/>
          <w:szCs w:val="18"/>
        </w:rPr>
      </w:pPr>
      <w:r>
        <w:rPr>
          <w:rFonts w:hint="eastAsia" w:ascii="宋体" w:hAnsi="宋体"/>
          <w:bCs/>
          <w:sz w:val="18"/>
          <w:szCs w:val="18"/>
        </w:rPr>
        <w:t>２０   年      月</w:t>
      </w:r>
    </w:p>
    <w:tbl>
      <w:tblPr>
        <w:tblStyle w:val="6"/>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71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noWrap w:val="0"/>
            <w:vAlign w:val="top"/>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noWrap w:val="0"/>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713"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938" w:type="dxa"/>
            <w:vMerge w:val="restart"/>
            <w:tcBorders>
              <w:top w:val="single" w:color="auto" w:sz="8" w:space="0"/>
              <w:left w:val="single" w:color="auto" w:sz="2" w:space="0"/>
              <w:bottom w:val="single" w:color="auto" w:sz="2" w:space="0"/>
              <w:right w:val="nil"/>
            </w:tcBorders>
            <w:noWrap w:val="0"/>
            <w:vAlign w:val="center"/>
          </w:tcPr>
          <w:p>
            <w:pPr>
              <w:widowControl/>
              <w:jc w:val="left"/>
              <w:rPr>
                <w:rFonts w:ascii="宋体" w:hAnsi="宋体"/>
                <w:bCs/>
                <w:sz w:val="18"/>
                <w:szCs w:val="18"/>
              </w:rPr>
            </w:pPr>
          </w:p>
          <w:p>
            <w:pPr>
              <w:widowControl/>
              <w:ind w:right="-118" w:rightChars="-56"/>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71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noWrap w:val="0"/>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71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10</w:t>
            </w:r>
          </w:p>
        </w:tc>
        <w:tc>
          <w:tcPr>
            <w:tcW w:w="71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11</w:t>
            </w:r>
          </w:p>
        </w:tc>
        <w:tc>
          <w:tcPr>
            <w:tcW w:w="938" w:type="dxa"/>
            <w:tcBorders>
              <w:top w:val="single" w:color="auto" w:sz="2" w:space="0"/>
              <w:left w:val="single" w:color="auto" w:sz="2" w:space="0"/>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nil"/>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noWrap w:val="0"/>
            <w:vAlign w:val="top"/>
          </w:tcPr>
          <w:p>
            <w:pPr>
              <w:rPr>
                <w:rFonts w:ascii="宋体" w:hAnsi="宋体"/>
                <w:bCs/>
                <w:sz w:val="18"/>
                <w:szCs w:val="18"/>
              </w:rPr>
            </w:pPr>
          </w:p>
        </w:tc>
        <w:tc>
          <w:tcPr>
            <w:tcW w:w="752" w:type="dxa"/>
            <w:tcBorders>
              <w:top w:val="single" w:color="auto" w:sz="8" w:space="0"/>
              <w:left w:val="nil"/>
              <w:bottom w:val="nil"/>
              <w:right w:val="nil"/>
            </w:tcBorders>
            <w:noWrap w:val="0"/>
            <w:vAlign w:val="top"/>
          </w:tcPr>
          <w:p>
            <w:pPr>
              <w:rPr>
                <w:rFonts w:ascii="宋体" w:hAnsi="宋体"/>
                <w:bCs/>
                <w:sz w:val="18"/>
                <w:szCs w:val="18"/>
              </w:rPr>
            </w:pPr>
          </w:p>
        </w:tc>
        <w:tc>
          <w:tcPr>
            <w:tcW w:w="753" w:type="dxa"/>
            <w:tcBorders>
              <w:top w:val="single" w:color="auto" w:sz="8" w:space="0"/>
              <w:left w:val="nil"/>
              <w:bottom w:val="nil"/>
              <w:right w:val="nil"/>
            </w:tcBorders>
            <w:noWrap w:val="0"/>
            <w:vAlign w:val="top"/>
          </w:tcPr>
          <w:p>
            <w:pPr>
              <w:rPr>
                <w:rFonts w:ascii="宋体" w:hAnsi="宋体"/>
                <w:bCs/>
                <w:sz w:val="18"/>
                <w:szCs w:val="18"/>
              </w:rPr>
            </w:pPr>
          </w:p>
        </w:tc>
        <w:tc>
          <w:tcPr>
            <w:tcW w:w="676" w:type="dxa"/>
            <w:tcBorders>
              <w:top w:val="single" w:color="auto" w:sz="8" w:space="0"/>
              <w:left w:val="nil"/>
              <w:bottom w:val="nil"/>
              <w:right w:val="nil"/>
            </w:tcBorders>
            <w:noWrap w:val="0"/>
            <w:vAlign w:val="top"/>
          </w:tcPr>
          <w:p>
            <w:pPr>
              <w:rPr>
                <w:rFonts w:ascii="宋体" w:hAnsi="宋体"/>
                <w:bCs/>
                <w:sz w:val="18"/>
                <w:szCs w:val="18"/>
              </w:rPr>
            </w:pPr>
          </w:p>
        </w:tc>
        <w:tc>
          <w:tcPr>
            <w:tcW w:w="693" w:type="dxa"/>
            <w:tcBorders>
              <w:top w:val="single" w:color="auto" w:sz="8" w:space="0"/>
              <w:left w:val="nil"/>
              <w:bottom w:val="nil"/>
              <w:right w:val="nil"/>
            </w:tcBorders>
            <w:noWrap w:val="0"/>
            <w:vAlign w:val="top"/>
          </w:tcPr>
          <w:p>
            <w:pPr>
              <w:rPr>
                <w:rFonts w:ascii="宋体" w:hAnsi="宋体"/>
                <w:bCs/>
                <w:sz w:val="18"/>
                <w:szCs w:val="18"/>
              </w:rPr>
            </w:pPr>
          </w:p>
        </w:tc>
        <w:tc>
          <w:tcPr>
            <w:tcW w:w="663" w:type="dxa"/>
            <w:tcBorders>
              <w:top w:val="single" w:color="auto" w:sz="8" w:space="0"/>
              <w:left w:val="nil"/>
              <w:bottom w:val="nil"/>
              <w:right w:val="nil"/>
            </w:tcBorders>
            <w:noWrap w:val="0"/>
            <w:vAlign w:val="top"/>
          </w:tcPr>
          <w:p>
            <w:pPr>
              <w:rPr>
                <w:rFonts w:ascii="宋体" w:hAnsi="宋体"/>
                <w:bCs/>
                <w:sz w:val="18"/>
                <w:szCs w:val="18"/>
              </w:rPr>
            </w:pPr>
          </w:p>
        </w:tc>
        <w:tc>
          <w:tcPr>
            <w:tcW w:w="592" w:type="dxa"/>
            <w:tcBorders>
              <w:top w:val="single" w:color="auto" w:sz="8" w:space="0"/>
              <w:left w:val="nil"/>
              <w:bottom w:val="nil"/>
              <w:right w:val="nil"/>
            </w:tcBorders>
            <w:noWrap w:val="0"/>
            <w:vAlign w:val="top"/>
          </w:tcPr>
          <w:p>
            <w:pPr>
              <w:rPr>
                <w:rFonts w:ascii="宋体" w:hAnsi="宋体"/>
                <w:bCs/>
                <w:sz w:val="18"/>
                <w:szCs w:val="18"/>
              </w:rPr>
            </w:pPr>
          </w:p>
        </w:tc>
        <w:tc>
          <w:tcPr>
            <w:tcW w:w="632" w:type="dxa"/>
            <w:tcBorders>
              <w:top w:val="single" w:color="auto" w:sz="8" w:space="0"/>
              <w:left w:val="nil"/>
              <w:bottom w:val="nil"/>
              <w:right w:val="nil"/>
            </w:tcBorders>
            <w:noWrap w:val="0"/>
            <w:vAlign w:val="top"/>
          </w:tcPr>
          <w:p>
            <w:pPr>
              <w:rPr>
                <w:rFonts w:ascii="宋体" w:hAnsi="宋体"/>
                <w:bCs/>
                <w:sz w:val="18"/>
                <w:szCs w:val="18"/>
              </w:rPr>
            </w:pPr>
          </w:p>
        </w:tc>
        <w:tc>
          <w:tcPr>
            <w:tcW w:w="887" w:type="dxa"/>
            <w:tcBorders>
              <w:top w:val="single" w:color="auto" w:sz="8" w:space="0"/>
              <w:left w:val="nil"/>
              <w:bottom w:val="nil"/>
              <w:right w:val="nil"/>
            </w:tcBorders>
            <w:noWrap w:val="0"/>
            <w:vAlign w:val="top"/>
          </w:tcPr>
          <w:p>
            <w:pPr>
              <w:rPr>
                <w:rFonts w:ascii="宋体" w:hAnsi="宋体"/>
                <w:bCs/>
                <w:sz w:val="18"/>
                <w:szCs w:val="18"/>
              </w:rPr>
            </w:pPr>
          </w:p>
        </w:tc>
        <w:tc>
          <w:tcPr>
            <w:tcW w:w="586" w:type="dxa"/>
            <w:tcBorders>
              <w:top w:val="single" w:color="auto" w:sz="8" w:space="0"/>
              <w:left w:val="nil"/>
              <w:bottom w:val="nil"/>
              <w:right w:val="nil"/>
            </w:tcBorders>
            <w:noWrap w:val="0"/>
            <w:vAlign w:val="top"/>
          </w:tcPr>
          <w:p>
            <w:pPr>
              <w:rPr>
                <w:rFonts w:ascii="宋体" w:hAnsi="宋体"/>
                <w:bCs/>
                <w:sz w:val="18"/>
                <w:szCs w:val="18"/>
              </w:rPr>
            </w:pPr>
          </w:p>
        </w:tc>
        <w:tc>
          <w:tcPr>
            <w:tcW w:w="713" w:type="dxa"/>
            <w:tcBorders>
              <w:top w:val="single" w:color="auto" w:sz="8" w:space="0"/>
              <w:left w:val="nil"/>
              <w:bottom w:val="nil"/>
              <w:right w:val="nil"/>
            </w:tcBorders>
            <w:noWrap w:val="0"/>
            <w:vAlign w:val="top"/>
          </w:tcPr>
          <w:p>
            <w:pPr>
              <w:rPr>
                <w:rFonts w:ascii="宋体" w:hAnsi="宋体"/>
                <w:bCs/>
                <w:sz w:val="18"/>
                <w:szCs w:val="18"/>
              </w:rPr>
            </w:pPr>
          </w:p>
        </w:tc>
        <w:tc>
          <w:tcPr>
            <w:tcW w:w="938" w:type="dxa"/>
            <w:tcBorders>
              <w:top w:val="single" w:color="auto" w:sz="8" w:space="0"/>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713" w:type="dxa"/>
            <w:tcBorders>
              <w:top w:val="nil"/>
              <w:left w:val="nil"/>
              <w:bottom w:val="nil"/>
              <w:right w:val="nil"/>
            </w:tcBorders>
            <w:noWrap w:val="0"/>
            <w:vAlign w:val="top"/>
          </w:tcPr>
          <w:p>
            <w:pPr>
              <w:rPr>
                <w:rFonts w:ascii="宋体" w:hAnsi="宋体"/>
                <w:bCs/>
                <w:sz w:val="18"/>
                <w:szCs w:val="18"/>
              </w:rPr>
            </w:pPr>
          </w:p>
        </w:tc>
        <w:tc>
          <w:tcPr>
            <w:tcW w:w="938"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713" w:type="dxa"/>
            <w:tcBorders>
              <w:top w:val="nil"/>
              <w:left w:val="nil"/>
              <w:bottom w:val="nil"/>
              <w:right w:val="nil"/>
            </w:tcBorders>
            <w:noWrap w:val="0"/>
            <w:vAlign w:val="top"/>
          </w:tcPr>
          <w:p>
            <w:pPr>
              <w:rPr>
                <w:rFonts w:ascii="宋体" w:hAnsi="宋体"/>
                <w:bCs/>
                <w:sz w:val="18"/>
                <w:szCs w:val="18"/>
              </w:rPr>
            </w:pPr>
          </w:p>
        </w:tc>
        <w:tc>
          <w:tcPr>
            <w:tcW w:w="938"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713" w:type="dxa"/>
            <w:tcBorders>
              <w:top w:val="nil"/>
              <w:left w:val="nil"/>
              <w:bottom w:val="nil"/>
              <w:right w:val="nil"/>
            </w:tcBorders>
            <w:noWrap w:val="0"/>
            <w:vAlign w:val="top"/>
          </w:tcPr>
          <w:p>
            <w:pPr>
              <w:rPr>
                <w:rFonts w:ascii="宋体" w:hAnsi="宋体"/>
                <w:bCs/>
                <w:sz w:val="18"/>
                <w:szCs w:val="18"/>
              </w:rPr>
            </w:pPr>
          </w:p>
        </w:tc>
        <w:tc>
          <w:tcPr>
            <w:tcW w:w="938"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noWrap w:val="0"/>
            <w:vAlign w:val="top"/>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noWrap w:val="0"/>
            <w:vAlign w:val="top"/>
          </w:tcPr>
          <w:p>
            <w:pPr>
              <w:rPr>
                <w:rFonts w:ascii="宋体" w:hAnsi="宋体"/>
                <w:bCs/>
                <w:sz w:val="18"/>
                <w:szCs w:val="18"/>
              </w:rPr>
            </w:pPr>
          </w:p>
        </w:tc>
        <w:tc>
          <w:tcPr>
            <w:tcW w:w="752" w:type="dxa"/>
            <w:tcBorders>
              <w:top w:val="nil"/>
              <w:left w:val="nil"/>
              <w:bottom w:val="single" w:color="auto" w:sz="8" w:space="0"/>
              <w:right w:val="nil"/>
            </w:tcBorders>
            <w:noWrap w:val="0"/>
            <w:vAlign w:val="top"/>
          </w:tcPr>
          <w:p>
            <w:pPr>
              <w:rPr>
                <w:rFonts w:ascii="宋体" w:hAnsi="宋体"/>
                <w:bCs/>
                <w:sz w:val="18"/>
                <w:szCs w:val="18"/>
              </w:rPr>
            </w:pPr>
          </w:p>
        </w:tc>
        <w:tc>
          <w:tcPr>
            <w:tcW w:w="753" w:type="dxa"/>
            <w:tcBorders>
              <w:top w:val="nil"/>
              <w:left w:val="nil"/>
              <w:bottom w:val="single" w:color="auto" w:sz="8" w:space="0"/>
              <w:right w:val="nil"/>
            </w:tcBorders>
            <w:noWrap w:val="0"/>
            <w:vAlign w:val="top"/>
          </w:tcPr>
          <w:p>
            <w:pPr>
              <w:rPr>
                <w:rFonts w:ascii="宋体" w:hAnsi="宋体"/>
                <w:bCs/>
                <w:sz w:val="18"/>
                <w:szCs w:val="18"/>
              </w:rPr>
            </w:pPr>
          </w:p>
        </w:tc>
        <w:tc>
          <w:tcPr>
            <w:tcW w:w="676" w:type="dxa"/>
            <w:tcBorders>
              <w:top w:val="nil"/>
              <w:left w:val="nil"/>
              <w:bottom w:val="single" w:color="auto" w:sz="8" w:space="0"/>
              <w:right w:val="nil"/>
            </w:tcBorders>
            <w:noWrap w:val="0"/>
            <w:vAlign w:val="top"/>
          </w:tcPr>
          <w:p>
            <w:pPr>
              <w:rPr>
                <w:rFonts w:ascii="宋体" w:hAnsi="宋体"/>
                <w:bCs/>
                <w:sz w:val="18"/>
                <w:szCs w:val="18"/>
              </w:rPr>
            </w:pPr>
          </w:p>
        </w:tc>
        <w:tc>
          <w:tcPr>
            <w:tcW w:w="693" w:type="dxa"/>
            <w:tcBorders>
              <w:top w:val="nil"/>
              <w:left w:val="nil"/>
              <w:bottom w:val="single" w:color="auto" w:sz="8" w:space="0"/>
              <w:right w:val="nil"/>
            </w:tcBorders>
            <w:noWrap w:val="0"/>
            <w:vAlign w:val="top"/>
          </w:tcPr>
          <w:p>
            <w:pPr>
              <w:rPr>
                <w:rFonts w:ascii="宋体" w:hAnsi="宋体"/>
                <w:bCs/>
                <w:sz w:val="18"/>
                <w:szCs w:val="18"/>
              </w:rPr>
            </w:pPr>
          </w:p>
        </w:tc>
        <w:tc>
          <w:tcPr>
            <w:tcW w:w="663" w:type="dxa"/>
            <w:tcBorders>
              <w:top w:val="nil"/>
              <w:left w:val="nil"/>
              <w:bottom w:val="single" w:color="auto" w:sz="8" w:space="0"/>
              <w:right w:val="nil"/>
            </w:tcBorders>
            <w:noWrap w:val="0"/>
            <w:vAlign w:val="top"/>
          </w:tcPr>
          <w:p>
            <w:pPr>
              <w:rPr>
                <w:rFonts w:ascii="宋体" w:hAnsi="宋体"/>
                <w:bCs/>
                <w:sz w:val="18"/>
                <w:szCs w:val="18"/>
              </w:rPr>
            </w:pPr>
          </w:p>
        </w:tc>
        <w:tc>
          <w:tcPr>
            <w:tcW w:w="592" w:type="dxa"/>
            <w:tcBorders>
              <w:top w:val="nil"/>
              <w:left w:val="nil"/>
              <w:bottom w:val="single" w:color="auto" w:sz="8" w:space="0"/>
              <w:right w:val="nil"/>
            </w:tcBorders>
            <w:noWrap w:val="0"/>
            <w:vAlign w:val="top"/>
          </w:tcPr>
          <w:p>
            <w:pPr>
              <w:rPr>
                <w:rFonts w:ascii="宋体" w:hAnsi="宋体"/>
                <w:bCs/>
                <w:sz w:val="18"/>
                <w:szCs w:val="18"/>
              </w:rPr>
            </w:pPr>
          </w:p>
        </w:tc>
        <w:tc>
          <w:tcPr>
            <w:tcW w:w="632" w:type="dxa"/>
            <w:tcBorders>
              <w:top w:val="nil"/>
              <w:left w:val="nil"/>
              <w:bottom w:val="single" w:color="auto" w:sz="8" w:space="0"/>
              <w:right w:val="nil"/>
            </w:tcBorders>
            <w:noWrap w:val="0"/>
            <w:vAlign w:val="top"/>
          </w:tcPr>
          <w:p>
            <w:pPr>
              <w:rPr>
                <w:rFonts w:ascii="宋体" w:hAnsi="宋体"/>
                <w:bCs/>
                <w:sz w:val="18"/>
                <w:szCs w:val="18"/>
              </w:rPr>
            </w:pPr>
          </w:p>
        </w:tc>
        <w:tc>
          <w:tcPr>
            <w:tcW w:w="887" w:type="dxa"/>
            <w:tcBorders>
              <w:top w:val="nil"/>
              <w:left w:val="nil"/>
              <w:bottom w:val="single" w:color="auto" w:sz="8" w:space="0"/>
              <w:right w:val="nil"/>
            </w:tcBorders>
            <w:noWrap w:val="0"/>
            <w:vAlign w:val="top"/>
          </w:tcPr>
          <w:p>
            <w:pPr>
              <w:rPr>
                <w:rFonts w:ascii="宋体" w:hAnsi="宋体"/>
                <w:bCs/>
                <w:sz w:val="18"/>
                <w:szCs w:val="18"/>
              </w:rPr>
            </w:pPr>
          </w:p>
        </w:tc>
        <w:tc>
          <w:tcPr>
            <w:tcW w:w="586" w:type="dxa"/>
            <w:tcBorders>
              <w:top w:val="nil"/>
              <w:left w:val="nil"/>
              <w:bottom w:val="single" w:color="auto" w:sz="8" w:space="0"/>
              <w:right w:val="nil"/>
            </w:tcBorders>
            <w:noWrap w:val="0"/>
            <w:vAlign w:val="top"/>
          </w:tcPr>
          <w:p>
            <w:pPr>
              <w:rPr>
                <w:rFonts w:ascii="宋体" w:hAnsi="宋体"/>
                <w:bCs/>
                <w:sz w:val="18"/>
                <w:szCs w:val="18"/>
              </w:rPr>
            </w:pPr>
          </w:p>
        </w:tc>
        <w:tc>
          <w:tcPr>
            <w:tcW w:w="713" w:type="dxa"/>
            <w:tcBorders>
              <w:top w:val="nil"/>
              <w:left w:val="nil"/>
              <w:bottom w:val="single" w:color="auto" w:sz="8" w:space="0"/>
              <w:right w:val="nil"/>
            </w:tcBorders>
            <w:noWrap w:val="0"/>
            <w:vAlign w:val="top"/>
          </w:tcPr>
          <w:p>
            <w:pPr>
              <w:rPr>
                <w:rFonts w:ascii="宋体" w:hAnsi="宋体"/>
                <w:bCs/>
                <w:sz w:val="18"/>
                <w:szCs w:val="18"/>
              </w:rPr>
            </w:pPr>
          </w:p>
        </w:tc>
        <w:tc>
          <w:tcPr>
            <w:tcW w:w="938" w:type="dxa"/>
            <w:tcBorders>
              <w:top w:val="nil"/>
              <w:left w:val="nil"/>
              <w:bottom w:val="single" w:color="auto" w:sz="8" w:space="0"/>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6"/>
        <w:tblW w:w="9785"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829"/>
        <w:gridCol w:w="928"/>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19" w:type="dxa"/>
            <w:gridSpan w:val="2"/>
            <w:vMerge w:val="restart"/>
            <w:tcBorders>
              <w:top w:val="single" w:color="auto" w:sz="8"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28" w:type="dxa"/>
            <w:vMerge w:val="restart"/>
            <w:tcBorders>
              <w:top w:val="single" w:color="auto" w:sz="8" w:space="0"/>
              <w:left w:val="single" w:color="auto" w:sz="2" w:space="0"/>
              <w:bottom w:val="single" w:color="auto" w:sz="2" w:space="0"/>
            </w:tcBorders>
            <w:noWrap w:val="0"/>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noWrap w:val="0"/>
            <w:vAlign w:val="top"/>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noWrap w:val="0"/>
            <w:vAlign w:val="top"/>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noWrap w:val="0"/>
            <w:vAlign w:val="top"/>
          </w:tcPr>
          <w:p>
            <w:pPr>
              <w:rPr>
                <w:rFonts w:ascii="宋体" w:hAnsi="宋体"/>
                <w:bCs/>
                <w:sz w:val="18"/>
                <w:szCs w:val="18"/>
              </w:rPr>
            </w:pPr>
          </w:p>
        </w:tc>
        <w:tc>
          <w:tcPr>
            <w:tcW w:w="1819" w:type="dxa"/>
            <w:gridSpan w:val="2"/>
            <w:vMerge w:val="continue"/>
            <w:tcBorders>
              <w:top w:val="single" w:color="auto" w:sz="2" w:space="0"/>
              <w:left w:val="single" w:color="auto" w:sz="2" w:space="0"/>
              <w:bottom w:val="single" w:color="auto" w:sz="2" w:space="0"/>
              <w:right w:val="single" w:color="auto" w:sz="2" w:space="0"/>
            </w:tcBorders>
            <w:noWrap w:val="0"/>
            <w:vAlign w:val="top"/>
          </w:tcPr>
          <w:p>
            <w:pPr>
              <w:ind w:right="-107" w:rightChars="-51"/>
              <w:jc w:val="center"/>
              <w:rPr>
                <w:rFonts w:ascii="宋体" w:hAnsi="宋体"/>
                <w:bCs/>
                <w:sz w:val="18"/>
                <w:szCs w:val="18"/>
              </w:rPr>
            </w:pPr>
          </w:p>
        </w:tc>
        <w:tc>
          <w:tcPr>
            <w:tcW w:w="928" w:type="dxa"/>
            <w:vMerge w:val="continue"/>
            <w:tcBorders>
              <w:top w:val="single" w:color="auto" w:sz="2" w:space="0"/>
              <w:left w:val="single" w:color="auto" w:sz="2" w:space="0"/>
              <w:bottom w:val="single" w:color="auto" w:sz="2" w:space="0"/>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noWrap w:val="0"/>
            <w:vAlign w:val="top"/>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noWrap w:val="0"/>
            <w:vAlign w:val="top"/>
          </w:tcPr>
          <w:p>
            <w:pPr>
              <w:ind w:right="-107" w:rightChars="-51"/>
              <w:jc w:val="center"/>
              <w:rPr>
                <w:rFonts w:ascii="宋体" w:hAnsi="宋体"/>
                <w:bCs/>
                <w:sz w:val="18"/>
                <w:szCs w:val="18"/>
              </w:rPr>
            </w:pPr>
            <w:r>
              <w:rPr>
                <w:rFonts w:hint="eastAsia" w:ascii="宋体" w:hAnsi="宋体"/>
                <w:bCs/>
                <w:sz w:val="18"/>
                <w:szCs w:val="18"/>
              </w:rPr>
              <w:t>小计</w:t>
            </w:r>
          </w:p>
        </w:tc>
        <w:tc>
          <w:tcPr>
            <w:tcW w:w="829" w:type="dxa"/>
            <w:tcBorders>
              <w:top w:val="single" w:color="auto" w:sz="2" w:space="0"/>
              <w:left w:val="single" w:color="auto" w:sz="2" w:space="0"/>
              <w:bottom w:val="single" w:color="auto" w:sz="2" w:space="0"/>
              <w:right w:val="single" w:color="auto" w:sz="2" w:space="0"/>
            </w:tcBorders>
            <w:noWrap w:val="0"/>
            <w:vAlign w:val="top"/>
          </w:tcPr>
          <w:p>
            <w:pPr>
              <w:ind w:right="-107" w:rightChars="-51"/>
              <w:jc w:val="center"/>
              <w:rPr>
                <w:rFonts w:ascii="宋体" w:hAnsi="宋体"/>
                <w:bCs/>
                <w:sz w:val="18"/>
                <w:szCs w:val="18"/>
              </w:rPr>
            </w:pPr>
            <w:r>
              <w:rPr>
                <w:rFonts w:hint="eastAsia" w:ascii="宋体" w:hAnsi="宋体"/>
                <w:bCs/>
                <w:sz w:val="18"/>
                <w:szCs w:val="18"/>
              </w:rPr>
              <w:t>护士</w:t>
            </w:r>
          </w:p>
        </w:tc>
        <w:tc>
          <w:tcPr>
            <w:tcW w:w="928" w:type="dxa"/>
            <w:vMerge w:val="continue"/>
            <w:tcBorders>
              <w:top w:val="single" w:color="auto" w:sz="2" w:space="0"/>
              <w:left w:val="single" w:color="auto" w:sz="2" w:space="0"/>
              <w:bottom w:val="single" w:color="auto" w:sz="2" w:space="0"/>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21</w:t>
            </w:r>
          </w:p>
        </w:tc>
        <w:tc>
          <w:tcPr>
            <w:tcW w:w="829"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22</w:t>
            </w:r>
          </w:p>
        </w:tc>
        <w:tc>
          <w:tcPr>
            <w:tcW w:w="928" w:type="dxa"/>
            <w:tcBorders>
              <w:top w:val="single" w:color="auto" w:sz="2" w:space="0"/>
              <w:left w:val="single" w:color="auto" w:sz="2" w:space="0"/>
              <w:bottom w:val="single" w:color="auto" w:sz="8" w:space="0"/>
            </w:tcBorders>
            <w:noWrap w:val="0"/>
            <w:vAlign w:val="top"/>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noWrap w:val="0"/>
            <w:vAlign w:val="top"/>
          </w:tcPr>
          <w:p>
            <w:pPr>
              <w:rPr>
                <w:rFonts w:ascii="宋体" w:hAnsi="宋体"/>
                <w:bCs/>
                <w:sz w:val="18"/>
                <w:szCs w:val="18"/>
              </w:rPr>
            </w:pPr>
          </w:p>
        </w:tc>
        <w:tc>
          <w:tcPr>
            <w:tcW w:w="719" w:type="dxa"/>
            <w:tcBorders>
              <w:top w:val="single" w:color="auto" w:sz="8" w:space="0"/>
              <w:left w:val="nil"/>
              <w:bottom w:val="nil"/>
              <w:right w:val="nil"/>
            </w:tcBorders>
            <w:noWrap w:val="0"/>
            <w:vAlign w:val="top"/>
          </w:tcPr>
          <w:p>
            <w:pPr>
              <w:rPr>
                <w:rFonts w:ascii="宋体" w:hAnsi="宋体"/>
                <w:bCs/>
                <w:sz w:val="18"/>
                <w:szCs w:val="18"/>
              </w:rPr>
            </w:pPr>
          </w:p>
        </w:tc>
        <w:tc>
          <w:tcPr>
            <w:tcW w:w="828" w:type="dxa"/>
            <w:tcBorders>
              <w:top w:val="single" w:color="auto" w:sz="8" w:space="0"/>
              <w:left w:val="nil"/>
              <w:bottom w:val="nil"/>
              <w:right w:val="nil"/>
            </w:tcBorders>
            <w:noWrap w:val="0"/>
            <w:vAlign w:val="top"/>
          </w:tcPr>
          <w:p>
            <w:pPr>
              <w:rPr>
                <w:rFonts w:ascii="宋体" w:hAnsi="宋体"/>
                <w:bCs/>
                <w:sz w:val="18"/>
                <w:szCs w:val="18"/>
              </w:rPr>
            </w:pPr>
          </w:p>
        </w:tc>
        <w:tc>
          <w:tcPr>
            <w:tcW w:w="1080" w:type="dxa"/>
            <w:tcBorders>
              <w:top w:val="single" w:color="auto" w:sz="8" w:space="0"/>
              <w:left w:val="nil"/>
              <w:bottom w:val="nil"/>
              <w:right w:val="nil"/>
            </w:tcBorders>
            <w:noWrap w:val="0"/>
            <w:vAlign w:val="top"/>
          </w:tcPr>
          <w:p>
            <w:pPr>
              <w:rPr>
                <w:rFonts w:ascii="宋体" w:hAnsi="宋体"/>
                <w:bCs/>
                <w:sz w:val="18"/>
                <w:szCs w:val="18"/>
              </w:rPr>
            </w:pPr>
          </w:p>
        </w:tc>
        <w:tc>
          <w:tcPr>
            <w:tcW w:w="972" w:type="dxa"/>
            <w:tcBorders>
              <w:top w:val="single" w:color="auto" w:sz="8" w:space="0"/>
              <w:left w:val="nil"/>
              <w:bottom w:val="nil"/>
              <w:right w:val="nil"/>
            </w:tcBorders>
            <w:noWrap w:val="0"/>
            <w:vAlign w:val="top"/>
          </w:tcPr>
          <w:p>
            <w:pPr>
              <w:rPr>
                <w:rFonts w:ascii="宋体" w:hAnsi="宋体"/>
                <w:bCs/>
                <w:sz w:val="18"/>
                <w:szCs w:val="18"/>
              </w:rPr>
            </w:pPr>
          </w:p>
        </w:tc>
        <w:tc>
          <w:tcPr>
            <w:tcW w:w="756" w:type="dxa"/>
            <w:tcBorders>
              <w:top w:val="single" w:color="auto" w:sz="8" w:space="0"/>
              <w:left w:val="nil"/>
              <w:bottom w:val="nil"/>
              <w:right w:val="nil"/>
            </w:tcBorders>
            <w:noWrap w:val="0"/>
            <w:vAlign w:val="top"/>
          </w:tcPr>
          <w:p>
            <w:pPr>
              <w:rPr>
                <w:rFonts w:ascii="宋体" w:hAnsi="宋体"/>
                <w:bCs/>
                <w:sz w:val="18"/>
                <w:szCs w:val="18"/>
              </w:rPr>
            </w:pPr>
          </w:p>
        </w:tc>
        <w:tc>
          <w:tcPr>
            <w:tcW w:w="864" w:type="dxa"/>
            <w:tcBorders>
              <w:top w:val="single" w:color="auto" w:sz="8" w:space="0"/>
              <w:left w:val="nil"/>
              <w:bottom w:val="nil"/>
              <w:right w:val="nil"/>
            </w:tcBorders>
            <w:noWrap w:val="0"/>
            <w:vAlign w:val="top"/>
          </w:tcPr>
          <w:p>
            <w:pPr>
              <w:rPr>
                <w:rFonts w:ascii="宋体" w:hAnsi="宋体"/>
                <w:bCs/>
                <w:sz w:val="18"/>
                <w:szCs w:val="18"/>
              </w:rPr>
            </w:pPr>
          </w:p>
        </w:tc>
        <w:tc>
          <w:tcPr>
            <w:tcW w:w="992" w:type="dxa"/>
            <w:tcBorders>
              <w:top w:val="single" w:color="auto" w:sz="8" w:space="0"/>
              <w:left w:val="nil"/>
              <w:bottom w:val="nil"/>
              <w:right w:val="nil"/>
            </w:tcBorders>
            <w:noWrap w:val="0"/>
            <w:vAlign w:val="top"/>
          </w:tcPr>
          <w:p>
            <w:pPr>
              <w:rPr>
                <w:rFonts w:ascii="宋体" w:hAnsi="宋体"/>
                <w:bCs/>
                <w:sz w:val="18"/>
                <w:szCs w:val="18"/>
              </w:rPr>
            </w:pPr>
          </w:p>
        </w:tc>
        <w:tc>
          <w:tcPr>
            <w:tcW w:w="990" w:type="dxa"/>
            <w:tcBorders>
              <w:top w:val="single" w:color="auto" w:sz="8" w:space="0"/>
              <w:left w:val="nil"/>
              <w:bottom w:val="nil"/>
              <w:right w:val="nil"/>
            </w:tcBorders>
            <w:noWrap w:val="0"/>
            <w:vAlign w:val="top"/>
          </w:tcPr>
          <w:p>
            <w:pPr>
              <w:rPr>
                <w:rFonts w:ascii="宋体" w:hAnsi="宋体"/>
                <w:bCs/>
                <w:sz w:val="18"/>
                <w:szCs w:val="18"/>
              </w:rPr>
            </w:pPr>
          </w:p>
        </w:tc>
        <w:tc>
          <w:tcPr>
            <w:tcW w:w="829" w:type="dxa"/>
            <w:tcBorders>
              <w:top w:val="single" w:color="auto" w:sz="8" w:space="0"/>
              <w:left w:val="nil"/>
              <w:bottom w:val="nil"/>
              <w:right w:val="nil"/>
            </w:tcBorders>
            <w:noWrap w:val="0"/>
            <w:vAlign w:val="top"/>
          </w:tcPr>
          <w:p>
            <w:pPr>
              <w:rPr>
                <w:rFonts w:ascii="宋体" w:hAnsi="宋体"/>
                <w:bCs/>
                <w:sz w:val="18"/>
                <w:szCs w:val="18"/>
              </w:rPr>
            </w:pPr>
          </w:p>
        </w:tc>
        <w:tc>
          <w:tcPr>
            <w:tcW w:w="928" w:type="dxa"/>
            <w:tcBorders>
              <w:top w:val="single" w:color="auto" w:sz="8" w:space="0"/>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829" w:type="dxa"/>
            <w:tcBorders>
              <w:top w:val="nil"/>
              <w:left w:val="nil"/>
              <w:bottom w:val="nil"/>
              <w:right w:val="nil"/>
            </w:tcBorders>
            <w:noWrap w:val="0"/>
            <w:vAlign w:val="top"/>
          </w:tcPr>
          <w:p>
            <w:pPr>
              <w:rPr>
                <w:rFonts w:ascii="宋体" w:hAnsi="宋体"/>
                <w:bCs/>
                <w:sz w:val="18"/>
                <w:szCs w:val="18"/>
              </w:rPr>
            </w:pPr>
          </w:p>
        </w:tc>
        <w:tc>
          <w:tcPr>
            <w:tcW w:w="928"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829" w:type="dxa"/>
            <w:tcBorders>
              <w:top w:val="nil"/>
              <w:left w:val="nil"/>
              <w:bottom w:val="nil"/>
              <w:right w:val="nil"/>
            </w:tcBorders>
            <w:noWrap w:val="0"/>
            <w:vAlign w:val="top"/>
          </w:tcPr>
          <w:p>
            <w:pPr>
              <w:rPr>
                <w:rFonts w:ascii="宋体" w:hAnsi="宋体"/>
                <w:bCs/>
                <w:sz w:val="18"/>
                <w:szCs w:val="18"/>
              </w:rPr>
            </w:pPr>
          </w:p>
        </w:tc>
        <w:tc>
          <w:tcPr>
            <w:tcW w:w="928"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829" w:type="dxa"/>
            <w:tcBorders>
              <w:top w:val="nil"/>
              <w:left w:val="nil"/>
              <w:bottom w:val="nil"/>
              <w:right w:val="nil"/>
            </w:tcBorders>
            <w:noWrap w:val="0"/>
            <w:vAlign w:val="top"/>
          </w:tcPr>
          <w:p>
            <w:pPr>
              <w:rPr>
                <w:rFonts w:ascii="宋体" w:hAnsi="宋体"/>
                <w:bCs/>
                <w:sz w:val="18"/>
                <w:szCs w:val="18"/>
              </w:rPr>
            </w:pPr>
          </w:p>
        </w:tc>
        <w:tc>
          <w:tcPr>
            <w:tcW w:w="928"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noWrap w:val="0"/>
            <w:vAlign w:val="top"/>
          </w:tcPr>
          <w:p>
            <w:pPr>
              <w:rPr>
                <w:rFonts w:ascii="宋体" w:hAnsi="宋体"/>
                <w:bCs/>
                <w:sz w:val="18"/>
                <w:szCs w:val="18"/>
              </w:rPr>
            </w:pPr>
          </w:p>
        </w:tc>
        <w:tc>
          <w:tcPr>
            <w:tcW w:w="719" w:type="dxa"/>
            <w:tcBorders>
              <w:top w:val="nil"/>
              <w:left w:val="nil"/>
              <w:bottom w:val="single" w:color="auto" w:sz="8" w:space="0"/>
              <w:right w:val="nil"/>
            </w:tcBorders>
            <w:noWrap w:val="0"/>
            <w:vAlign w:val="top"/>
          </w:tcPr>
          <w:p>
            <w:pPr>
              <w:rPr>
                <w:rFonts w:ascii="宋体" w:hAnsi="宋体"/>
                <w:bCs/>
                <w:sz w:val="18"/>
                <w:szCs w:val="18"/>
              </w:rPr>
            </w:pPr>
          </w:p>
        </w:tc>
        <w:tc>
          <w:tcPr>
            <w:tcW w:w="828" w:type="dxa"/>
            <w:tcBorders>
              <w:top w:val="nil"/>
              <w:left w:val="nil"/>
              <w:bottom w:val="single" w:color="auto" w:sz="8" w:space="0"/>
              <w:right w:val="nil"/>
            </w:tcBorders>
            <w:noWrap w:val="0"/>
            <w:vAlign w:val="top"/>
          </w:tcPr>
          <w:p>
            <w:pPr>
              <w:rPr>
                <w:rFonts w:ascii="宋体" w:hAnsi="宋体"/>
                <w:bCs/>
                <w:sz w:val="18"/>
                <w:szCs w:val="18"/>
              </w:rPr>
            </w:pPr>
          </w:p>
        </w:tc>
        <w:tc>
          <w:tcPr>
            <w:tcW w:w="1080" w:type="dxa"/>
            <w:tcBorders>
              <w:top w:val="nil"/>
              <w:left w:val="nil"/>
              <w:bottom w:val="single" w:color="auto" w:sz="8" w:space="0"/>
              <w:right w:val="nil"/>
            </w:tcBorders>
            <w:noWrap w:val="0"/>
            <w:vAlign w:val="top"/>
          </w:tcPr>
          <w:p>
            <w:pPr>
              <w:rPr>
                <w:rFonts w:ascii="宋体" w:hAnsi="宋体"/>
                <w:bCs/>
                <w:sz w:val="18"/>
                <w:szCs w:val="18"/>
              </w:rPr>
            </w:pPr>
          </w:p>
        </w:tc>
        <w:tc>
          <w:tcPr>
            <w:tcW w:w="972" w:type="dxa"/>
            <w:tcBorders>
              <w:top w:val="nil"/>
              <w:left w:val="nil"/>
              <w:bottom w:val="single" w:color="auto" w:sz="8" w:space="0"/>
              <w:right w:val="nil"/>
            </w:tcBorders>
            <w:noWrap w:val="0"/>
            <w:vAlign w:val="top"/>
          </w:tcPr>
          <w:p>
            <w:pPr>
              <w:rPr>
                <w:rFonts w:ascii="宋体" w:hAnsi="宋体"/>
                <w:bCs/>
                <w:sz w:val="18"/>
                <w:szCs w:val="18"/>
              </w:rPr>
            </w:pPr>
          </w:p>
        </w:tc>
        <w:tc>
          <w:tcPr>
            <w:tcW w:w="756" w:type="dxa"/>
            <w:tcBorders>
              <w:top w:val="nil"/>
              <w:left w:val="nil"/>
              <w:bottom w:val="single" w:color="auto" w:sz="8" w:space="0"/>
              <w:right w:val="nil"/>
            </w:tcBorders>
            <w:noWrap w:val="0"/>
            <w:vAlign w:val="top"/>
          </w:tcPr>
          <w:p>
            <w:pPr>
              <w:rPr>
                <w:rFonts w:ascii="宋体" w:hAnsi="宋体"/>
                <w:bCs/>
                <w:sz w:val="18"/>
                <w:szCs w:val="18"/>
              </w:rPr>
            </w:pPr>
          </w:p>
        </w:tc>
        <w:tc>
          <w:tcPr>
            <w:tcW w:w="864" w:type="dxa"/>
            <w:tcBorders>
              <w:top w:val="nil"/>
              <w:left w:val="nil"/>
              <w:bottom w:val="single" w:color="auto" w:sz="8" w:space="0"/>
              <w:right w:val="nil"/>
            </w:tcBorders>
            <w:noWrap w:val="0"/>
            <w:vAlign w:val="top"/>
          </w:tcPr>
          <w:p>
            <w:pPr>
              <w:rPr>
                <w:rFonts w:ascii="宋体" w:hAnsi="宋体"/>
                <w:bCs/>
                <w:sz w:val="18"/>
                <w:szCs w:val="18"/>
              </w:rPr>
            </w:pPr>
          </w:p>
        </w:tc>
        <w:tc>
          <w:tcPr>
            <w:tcW w:w="992" w:type="dxa"/>
            <w:tcBorders>
              <w:top w:val="nil"/>
              <w:left w:val="nil"/>
              <w:bottom w:val="single" w:color="auto" w:sz="8" w:space="0"/>
              <w:right w:val="nil"/>
            </w:tcBorders>
            <w:noWrap w:val="0"/>
            <w:vAlign w:val="top"/>
          </w:tcPr>
          <w:p>
            <w:pPr>
              <w:rPr>
                <w:rFonts w:ascii="宋体" w:hAnsi="宋体"/>
                <w:bCs/>
                <w:sz w:val="18"/>
                <w:szCs w:val="18"/>
              </w:rPr>
            </w:pPr>
          </w:p>
        </w:tc>
        <w:tc>
          <w:tcPr>
            <w:tcW w:w="990" w:type="dxa"/>
            <w:tcBorders>
              <w:top w:val="nil"/>
              <w:left w:val="nil"/>
              <w:bottom w:val="single" w:color="auto" w:sz="8" w:space="0"/>
              <w:right w:val="nil"/>
            </w:tcBorders>
            <w:noWrap w:val="0"/>
            <w:vAlign w:val="top"/>
          </w:tcPr>
          <w:p>
            <w:pPr>
              <w:rPr>
                <w:rFonts w:ascii="宋体" w:hAnsi="宋体"/>
                <w:bCs/>
                <w:sz w:val="18"/>
                <w:szCs w:val="18"/>
              </w:rPr>
            </w:pPr>
          </w:p>
        </w:tc>
        <w:tc>
          <w:tcPr>
            <w:tcW w:w="829" w:type="dxa"/>
            <w:tcBorders>
              <w:top w:val="nil"/>
              <w:left w:val="nil"/>
              <w:bottom w:val="single" w:color="auto" w:sz="8" w:space="0"/>
              <w:right w:val="nil"/>
            </w:tcBorders>
            <w:noWrap w:val="0"/>
            <w:vAlign w:val="top"/>
          </w:tcPr>
          <w:p>
            <w:pPr>
              <w:rPr>
                <w:rFonts w:ascii="宋体" w:hAnsi="宋体"/>
                <w:bCs/>
                <w:sz w:val="18"/>
                <w:szCs w:val="18"/>
              </w:rPr>
            </w:pPr>
          </w:p>
        </w:tc>
        <w:tc>
          <w:tcPr>
            <w:tcW w:w="928" w:type="dxa"/>
            <w:tcBorders>
              <w:top w:val="nil"/>
              <w:left w:val="nil"/>
              <w:bottom w:val="single" w:color="auto" w:sz="8" w:space="0"/>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单位负责人：         统计负责人：         制表人：        联系电话：      报出日期：２０    年  月   日</w:t>
      </w:r>
    </w:p>
    <w:p>
      <w:pPr>
        <w:rPr>
          <w:rFonts w:ascii="宋体" w:hAnsi="宋体"/>
          <w:bCs/>
          <w:sz w:val="18"/>
          <w:szCs w:val="18"/>
        </w:rPr>
      </w:pPr>
      <w:r>
        <w:rPr>
          <w:rFonts w:hint="eastAsia" w:ascii="宋体" w:hAnsi="宋体"/>
          <w:bCs/>
          <w:sz w:val="18"/>
          <w:szCs w:val="18"/>
        </w:rPr>
        <w:t>说明：1、本表综合反映报告月份企业开展对外劳务合作业务派出人员的构成情况。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rPr>
          <w:rFonts w:ascii="宋体" w:hAnsi="宋体"/>
          <w:bCs/>
          <w:sz w:val="18"/>
          <w:szCs w:val="18"/>
        </w:rPr>
      </w:pPr>
      <w:r>
        <w:rPr>
          <w:rFonts w:hint="eastAsia" w:ascii="宋体" w:hAnsi="宋体"/>
          <w:bCs/>
          <w:sz w:val="18"/>
          <w:szCs w:val="18"/>
        </w:rPr>
        <w:t xml:space="preserve">      3、公有控股经济和非公有控股经济划分标准见附录。</w:t>
      </w:r>
    </w:p>
    <w:p>
      <w:pPr>
        <w:ind w:firstLine="540" w:firstLineChars="300"/>
        <w:rPr>
          <w:rFonts w:ascii="宋体" w:hAnsi="宋体"/>
          <w:bCs/>
          <w:sz w:val="18"/>
          <w:szCs w:val="18"/>
        </w:rPr>
      </w:pPr>
      <w:r>
        <w:rPr>
          <w:rFonts w:hint="eastAsia" w:ascii="宋体" w:hAnsi="宋体"/>
          <w:bCs/>
          <w:sz w:val="18"/>
          <w:szCs w:val="18"/>
        </w:rPr>
        <w:t>4、如国家（地区）和项目涉及派出渔船船员劳务，渔船船员项下应分别填报远洋人数和近海人数。近海指驻在国或地区管辖的水域，远洋是指驻在国或地区管辖以外水域。</w:t>
      </w:r>
    </w:p>
    <w:p>
      <w:pPr>
        <w:jc w:val="center"/>
        <w:rPr>
          <w:rFonts w:ascii="宋体" w:hAnsi="宋体"/>
          <w:sz w:val="32"/>
          <w:szCs w:val="32"/>
        </w:rPr>
      </w:pPr>
      <w:r>
        <w:rPr>
          <w:rFonts w:hint="eastAsia" w:ascii="宋体" w:hAnsi="宋体"/>
          <w:sz w:val="32"/>
          <w:szCs w:val="32"/>
        </w:rPr>
        <w:br w:type="page"/>
      </w:r>
      <w:r>
        <w:rPr>
          <w:rFonts w:hint="eastAsia" w:ascii="宋体" w:hAnsi="宋体"/>
          <w:sz w:val="32"/>
          <w:szCs w:val="32"/>
        </w:rPr>
        <w:t>对外劳务合作期末在外人员构成</w:t>
      </w:r>
    </w:p>
    <w:p>
      <w:pPr>
        <w:jc w:val="center"/>
        <w:rPr>
          <w:rFonts w:ascii="宋体" w:hAnsi="宋体"/>
          <w:szCs w:val="21"/>
        </w:rPr>
      </w:pPr>
    </w:p>
    <w:tbl>
      <w:tblPr>
        <w:tblStyle w:val="6"/>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号：LW2</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有效期至：2024年12月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780"/>
        <w:jc w:val="center"/>
        <w:rPr>
          <w:rFonts w:ascii="宋体" w:hAnsi="宋体"/>
          <w:bCs/>
          <w:sz w:val="18"/>
          <w:szCs w:val="18"/>
        </w:rPr>
      </w:pPr>
      <w:r>
        <w:rPr>
          <w:rFonts w:hint="eastAsia" w:ascii="宋体" w:hAnsi="宋体"/>
          <w:bCs/>
          <w:sz w:val="18"/>
          <w:szCs w:val="18"/>
        </w:rPr>
        <w:t xml:space="preserve">    ２０     年      月</w:t>
      </w:r>
    </w:p>
    <w:tbl>
      <w:tblPr>
        <w:tblStyle w:val="6"/>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6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noWrap w:val="0"/>
            <w:vAlign w:val="top"/>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noWrap w:val="0"/>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620"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1065" w:type="dxa"/>
            <w:vMerge w:val="restart"/>
            <w:tcBorders>
              <w:top w:val="single" w:color="auto" w:sz="8" w:space="0"/>
              <w:left w:val="single" w:color="auto" w:sz="2" w:space="0"/>
              <w:bottom w:val="single" w:color="auto" w:sz="2" w:space="0"/>
              <w:right w:val="nil"/>
            </w:tcBorders>
            <w:noWrap w:val="0"/>
            <w:vAlign w:val="center"/>
          </w:tcPr>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62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noWrap w:val="0"/>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62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10</w:t>
            </w:r>
          </w:p>
        </w:tc>
        <w:tc>
          <w:tcPr>
            <w:tcW w:w="62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11</w:t>
            </w:r>
          </w:p>
        </w:tc>
        <w:tc>
          <w:tcPr>
            <w:tcW w:w="1065" w:type="dxa"/>
            <w:tcBorders>
              <w:top w:val="single" w:color="auto" w:sz="2" w:space="0"/>
              <w:left w:val="single" w:color="auto" w:sz="2" w:space="0"/>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8" w:space="0"/>
              <w:left w:val="nil"/>
              <w:bottom w:val="nil"/>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noWrap w:val="0"/>
            <w:vAlign w:val="top"/>
          </w:tcPr>
          <w:p>
            <w:pPr>
              <w:rPr>
                <w:rFonts w:ascii="宋体" w:hAnsi="宋体"/>
                <w:bCs/>
                <w:sz w:val="18"/>
                <w:szCs w:val="18"/>
              </w:rPr>
            </w:pPr>
          </w:p>
        </w:tc>
        <w:tc>
          <w:tcPr>
            <w:tcW w:w="752" w:type="dxa"/>
            <w:tcBorders>
              <w:top w:val="single" w:color="auto" w:sz="8" w:space="0"/>
              <w:left w:val="nil"/>
              <w:bottom w:val="nil"/>
              <w:right w:val="nil"/>
            </w:tcBorders>
            <w:noWrap w:val="0"/>
            <w:vAlign w:val="top"/>
          </w:tcPr>
          <w:p>
            <w:pPr>
              <w:rPr>
                <w:rFonts w:ascii="宋体" w:hAnsi="宋体"/>
                <w:bCs/>
                <w:sz w:val="18"/>
                <w:szCs w:val="18"/>
              </w:rPr>
            </w:pPr>
          </w:p>
        </w:tc>
        <w:tc>
          <w:tcPr>
            <w:tcW w:w="753" w:type="dxa"/>
            <w:tcBorders>
              <w:top w:val="single" w:color="auto" w:sz="8" w:space="0"/>
              <w:left w:val="nil"/>
              <w:bottom w:val="nil"/>
              <w:right w:val="nil"/>
            </w:tcBorders>
            <w:noWrap w:val="0"/>
            <w:vAlign w:val="top"/>
          </w:tcPr>
          <w:p>
            <w:pPr>
              <w:rPr>
                <w:rFonts w:ascii="宋体" w:hAnsi="宋体"/>
                <w:bCs/>
                <w:sz w:val="18"/>
                <w:szCs w:val="18"/>
              </w:rPr>
            </w:pPr>
          </w:p>
        </w:tc>
        <w:tc>
          <w:tcPr>
            <w:tcW w:w="676" w:type="dxa"/>
            <w:tcBorders>
              <w:top w:val="single" w:color="auto" w:sz="8" w:space="0"/>
              <w:left w:val="nil"/>
              <w:bottom w:val="nil"/>
              <w:right w:val="nil"/>
            </w:tcBorders>
            <w:noWrap w:val="0"/>
            <w:vAlign w:val="top"/>
          </w:tcPr>
          <w:p>
            <w:pPr>
              <w:rPr>
                <w:rFonts w:ascii="宋体" w:hAnsi="宋体"/>
                <w:bCs/>
                <w:sz w:val="18"/>
                <w:szCs w:val="18"/>
              </w:rPr>
            </w:pPr>
          </w:p>
        </w:tc>
        <w:tc>
          <w:tcPr>
            <w:tcW w:w="693" w:type="dxa"/>
            <w:tcBorders>
              <w:top w:val="single" w:color="auto" w:sz="8" w:space="0"/>
              <w:left w:val="nil"/>
              <w:bottom w:val="nil"/>
              <w:right w:val="nil"/>
            </w:tcBorders>
            <w:noWrap w:val="0"/>
            <w:vAlign w:val="top"/>
          </w:tcPr>
          <w:p>
            <w:pPr>
              <w:rPr>
                <w:rFonts w:ascii="宋体" w:hAnsi="宋体"/>
                <w:bCs/>
                <w:sz w:val="18"/>
                <w:szCs w:val="18"/>
              </w:rPr>
            </w:pPr>
          </w:p>
        </w:tc>
        <w:tc>
          <w:tcPr>
            <w:tcW w:w="663" w:type="dxa"/>
            <w:tcBorders>
              <w:top w:val="single" w:color="auto" w:sz="8" w:space="0"/>
              <w:left w:val="nil"/>
              <w:bottom w:val="nil"/>
              <w:right w:val="nil"/>
            </w:tcBorders>
            <w:noWrap w:val="0"/>
            <w:vAlign w:val="top"/>
          </w:tcPr>
          <w:p>
            <w:pPr>
              <w:rPr>
                <w:rFonts w:ascii="宋体" w:hAnsi="宋体"/>
                <w:bCs/>
                <w:sz w:val="18"/>
                <w:szCs w:val="18"/>
              </w:rPr>
            </w:pPr>
          </w:p>
        </w:tc>
        <w:tc>
          <w:tcPr>
            <w:tcW w:w="592" w:type="dxa"/>
            <w:tcBorders>
              <w:top w:val="single" w:color="auto" w:sz="8" w:space="0"/>
              <w:left w:val="nil"/>
              <w:bottom w:val="nil"/>
              <w:right w:val="nil"/>
            </w:tcBorders>
            <w:noWrap w:val="0"/>
            <w:vAlign w:val="top"/>
          </w:tcPr>
          <w:p>
            <w:pPr>
              <w:rPr>
                <w:rFonts w:ascii="宋体" w:hAnsi="宋体"/>
                <w:bCs/>
                <w:sz w:val="18"/>
                <w:szCs w:val="18"/>
              </w:rPr>
            </w:pPr>
          </w:p>
        </w:tc>
        <w:tc>
          <w:tcPr>
            <w:tcW w:w="632" w:type="dxa"/>
            <w:tcBorders>
              <w:top w:val="single" w:color="auto" w:sz="8" w:space="0"/>
              <w:left w:val="nil"/>
              <w:bottom w:val="nil"/>
              <w:right w:val="nil"/>
            </w:tcBorders>
            <w:noWrap w:val="0"/>
            <w:vAlign w:val="top"/>
          </w:tcPr>
          <w:p>
            <w:pPr>
              <w:rPr>
                <w:rFonts w:ascii="宋体" w:hAnsi="宋体"/>
                <w:bCs/>
                <w:sz w:val="18"/>
                <w:szCs w:val="18"/>
              </w:rPr>
            </w:pPr>
          </w:p>
        </w:tc>
        <w:tc>
          <w:tcPr>
            <w:tcW w:w="887" w:type="dxa"/>
            <w:tcBorders>
              <w:top w:val="single" w:color="auto" w:sz="8" w:space="0"/>
              <w:left w:val="nil"/>
              <w:bottom w:val="nil"/>
              <w:right w:val="nil"/>
            </w:tcBorders>
            <w:noWrap w:val="0"/>
            <w:vAlign w:val="top"/>
          </w:tcPr>
          <w:p>
            <w:pPr>
              <w:rPr>
                <w:rFonts w:ascii="宋体" w:hAnsi="宋体"/>
                <w:bCs/>
                <w:sz w:val="18"/>
                <w:szCs w:val="18"/>
              </w:rPr>
            </w:pPr>
          </w:p>
        </w:tc>
        <w:tc>
          <w:tcPr>
            <w:tcW w:w="586" w:type="dxa"/>
            <w:tcBorders>
              <w:top w:val="single" w:color="auto" w:sz="8" w:space="0"/>
              <w:left w:val="nil"/>
              <w:bottom w:val="nil"/>
              <w:right w:val="nil"/>
            </w:tcBorders>
            <w:noWrap w:val="0"/>
            <w:vAlign w:val="top"/>
          </w:tcPr>
          <w:p>
            <w:pPr>
              <w:rPr>
                <w:rFonts w:ascii="宋体" w:hAnsi="宋体"/>
                <w:bCs/>
                <w:sz w:val="18"/>
                <w:szCs w:val="18"/>
              </w:rPr>
            </w:pPr>
          </w:p>
        </w:tc>
        <w:tc>
          <w:tcPr>
            <w:tcW w:w="620" w:type="dxa"/>
            <w:tcBorders>
              <w:top w:val="single" w:color="auto" w:sz="8" w:space="0"/>
              <w:left w:val="nil"/>
              <w:bottom w:val="nil"/>
              <w:right w:val="nil"/>
            </w:tcBorders>
            <w:noWrap w:val="0"/>
            <w:vAlign w:val="top"/>
          </w:tcPr>
          <w:p>
            <w:pPr>
              <w:rPr>
                <w:rFonts w:ascii="宋体" w:hAnsi="宋体"/>
                <w:bCs/>
                <w:sz w:val="18"/>
                <w:szCs w:val="18"/>
              </w:rPr>
            </w:pPr>
          </w:p>
        </w:tc>
        <w:tc>
          <w:tcPr>
            <w:tcW w:w="1065" w:type="dxa"/>
            <w:tcBorders>
              <w:top w:val="single" w:color="auto" w:sz="8" w:space="0"/>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620" w:type="dxa"/>
            <w:tcBorders>
              <w:top w:val="nil"/>
              <w:left w:val="nil"/>
              <w:bottom w:val="nil"/>
              <w:right w:val="nil"/>
            </w:tcBorders>
            <w:noWrap w:val="0"/>
            <w:vAlign w:val="top"/>
          </w:tcPr>
          <w:p>
            <w:pPr>
              <w:rPr>
                <w:rFonts w:ascii="宋体" w:hAnsi="宋体"/>
                <w:bCs/>
                <w:sz w:val="18"/>
                <w:szCs w:val="18"/>
              </w:rPr>
            </w:pPr>
          </w:p>
        </w:tc>
        <w:tc>
          <w:tcPr>
            <w:tcW w:w="106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620" w:type="dxa"/>
            <w:tcBorders>
              <w:top w:val="nil"/>
              <w:left w:val="nil"/>
              <w:bottom w:val="nil"/>
              <w:right w:val="nil"/>
            </w:tcBorders>
            <w:noWrap w:val="0"/>
            <w:vAlign w:val="top"/>
          </w:tcPr>
          <w:p>
            <w:pPr>
              <w:rPr>
                <w:rFonts w:ascii="宋体" w:hAnsi="宋体"/>
                <w:bCs/>
                <w:sz w:val="18"/>
                <w:szCs w:val="18"/>
              </w:rPr>
            </w:pPr>
          </w:p>
        </w:tc>
        <w:tc>
          <w:tcPr>
            <w:tcW w:w="106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620" w:type="dxa"/>
            <w:tcBorders>
              <w:top w:val="nil"/>
              <w:left w:val="nil"/>
              <w:bottom w:val="nil"/>
              <w:right w:val="nil"/>
            </w:tcBorders>
            <w:noWrap w:val="0"/>
            <w:vAlign w:val="top"/>
          </w:tcPr>
          <w:p>
            <w:pPr>
              <w:rPr>
                <w:rFonts w:ascii="宋体" w:hAnsi="宋体"/>
                <w:bCs/>
                <w:sz w:val="18"/>
                <w:szCs w:val="18"/>
              </w:rPr>
            </w:pPr>
          </w:p>
        </w:tc>
        <w:tc>
          <w:tcPr>
            <w:tcW w:w="106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noWrap w:val="0"/>
            <w:vAlign w:val="top"/>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noWrap w:val="0"/>
            <w:vAlign w:val="top"/>
          </w:tcPr>
          <w:p>
            <w:pPr>
              <w:rPr>
                <w:rFonts w:ascii="宋体" w:hAnsi="宋体"/>
                <w:bCs/>
                <w:sz w:val="18"/>
                <w:szCs w:val="18"/>
              </w:rPr>
            </w:pPr>
          </w:p>
        </w:tc>
        <w:tc>
          <w:tcPr>
            <w:tcW w:w="752" w:type="dxa"/>
            <w:tcBorders>
              <w:top w:val="nil"/>
              <w:left w:val="nil"/>
              <w:bottom w:val="single" w:color="auto" w:sz="8" w:space="0"/>
              <w:right w:val="nil"/>
            </w:tcBorders>
            <w:noWrap w:val="0"/>
            <w:vAlign w:val="top"/>
          </w:tcPr>
          <w:p>
            <w:pPr>
              <w:rPr>
                <w:rFonts w:ascii="宋体" w:hAnsi="宋体"/>
                <w:bCs/>
                <w:sz w:val="18"/>
                <w:szCs w:val="18"/>
              </w:rPr>
            </w:pPr>
          </w:p>
        </w:tc>
        <w:tc>
          <w:tcPr>
            <w:tcW w:w="753" w:type="dxa"/>
            <w:tcBorders>
              <w:top w:val="nil"/>
              <w:left w:val="nil"/>
              <w:bottom w:val="single" w:color="auto" w:sz="8" w:space="0"/>
              <w:right w:val="nil"/>
            </w:tcBorders>
            <w:noWrap w:val="0"/>
            <w:vAlign w:val="top"/>
          </w:tcPr>
          <w:p>
            <w:pPr>
              <w:rPr>
                <w:rFonts w:ascii="宋体" w:hAnsi="宋体"/>
                <w:bCs/>
                <w:sz w:val="18"/>
                <w:szCs w:val="18"/>
              </w:rPr>
            </w:pPr>
          </w:p>
        </w:tc>
        <w:tc>
          <w:tcPr>
            <w:tcW w:w="676" w:type="dxa"/>
            <w:tcBorders>
              <w:top w:val="nil"/>
              <w:left w:val="nil"/>
              <w:bottom w:val="single" w:color="auto" w:sz="8" w:space="0"/>
              <w:right w:val="nil"/>
            </w:tcBorders>
            <w:noWrap w:val="0"/>
            <w:vAlign w:val="top"/>
          </w:tcPr>
          <w:p>
            <w:pPr>
              <w:rPr>
                <w:rFonts w:ascii="宋体" w:hAnsi="宋体"/>
                <w:bCs/>
                <w:sz w:val="18"/>
                <w:szCs w:val="18"/>
              </w:rPr>
            </w:pPr>
          </w:p>
        </w:tc>
        <w:tc>
          <w:tcPr>
            <w:tcW w:w="693" w:type="dxa"/>
            <w:tcBorders>
              <w:top w:val="nil"/>
              <w:left w:val="nil"/>
              <w:bottom w:val="single" w:color="auto" w:sz="8" w:space="0"/>
              <w:right w:val="nil"/>
            </w:tcBorders>
            <w:noWrap w:val="0"/>
            <w:vAlign w:val="top"/>
          </w:tcPr>
          <w:p>
            <w:pPr>
              <w:rPr>
                <w:rFonts w:ascii="宋体" w:hAnsi="宋体"/>
                <w:bCs/>
                <w:sz w:val="18"/>
                <w:szCs w:val="18"/>
              </w:rPr>
            </w:pPr>
          </w:p>
        </w:tc>
        <w:tc>
          <w:tcPr>
            <w:tcW w:w="663" w:type="dxa"/>
            <w:tcBorders>
              <w:top w:val="nil"/>
              <w:left w:val="nil"/>
              <w:bottom w:val="single" w:color="auto" w:sz="8" w:space="0"/>
              <w:right w:val="nil"/>
            </w:tcBorders>
            <w:noWrap w:val="0"/>
            <w:vAlign w:val="top"/>
          </w:tcPr>
          <w:p>
            <w:pPr>
              <w:rPr>
                <w:rFonts w:ascii="宋体" w:hAnsi="宋体"/>
                <w:bCs/>
                <w:sz w:val="18"/>
                <w:szCs w:val="18"/>
              </w:rPr>
            </w:pPr>
          </w:p>
        </w:tc>
        <w:tc>
          <w:tcPr>
            <w:tcW w:w="592" w:type="dxa"/>
            <w:tcBorders>
              <w:top w:val="nil"/>
              <w:left w:val="nil"/>
              <w:bottom w:val="single" w:color="auto" w:sz="8" w:space="0"/>
              <w:right w:val="nil"/>
            </w:tcBorders>
            <w:noWrap w:val="0"/>
            <w:vAlign w:val="top"/>
          </w:tcPr>
          <w:p>
            <w:pPr>
              <w:rPr>
                <w:rFonts w:ascii="宋体" w:hAnsi="宋体"/>
                <w:bCs/>
                <w:sz w:val="18"/>
                <w:szCs w:val="18"/>
              </w:rPr>
            </w:pPr>
          </w:p>
        </w:tc>
        <w:tc>
          <w:tcPr>
            <w:tcW w:w="632" w:type="dxa"/>
            <w:tcBorders>
              <w:top w:val="nil"/>
              <w:left w:val="nil"/>
              <w:bottom w:val="single" w:color="auto" w:sz="8" w:space="0"/>
              <w:right w:val="nil"/>
            </w:tcBorders>
            <w:noWrap w:val="0"/>
            <w:vAlign w:val="top"/>
          </w:tcPr>
          <w:p>
            <w:pPr>
              <w:rPr>
                <w:rFonts w:ascii="宋体" w:hAnsi="宋体"/>
                <w:bCs/>
                <w:sz w:val="18"/>
                <w:szCs w:val="18"/>
              </w:rPr>
            </w:pPr>
          </w:p>
        </w:tc>
        <w:tc>
          <w:tcPr>
            <w:tcW w:w="887" w:type="dxa"/>
            <w:tcBorders>
              <w:top w:val="nil"/>
              <w:left w:val="nil"/>
              <w:bottom w:val="single" w:color="auto" w:sz="8" w:space="0"/>
              <w:right w:val="nil"/>
            </w:tcBorders>
            <w:noWrap w:val="0"/>
            <w:vAlign w:val="top"/>
          </w:tcPr>
          <w:p>
            <w:pPr>
              <w:rPr>
                <w:rFonts w:ascii="宋体" w:hAnsi="宋体"/>
                <w:bCs/>
                <w:sz w:val="18"/>
                <w:szCs w:val="18"/>
              </w:rPr>
            </w:pPr>
          </w:p>
        </w:tc>
        <w:tc>
          <w:tcPr>
            <w:tcW w:w="586" w:type="dxa"/>
            <w:tcBorders>
              <w:top w:val="nil"/>
              <w:left w:val="nil"/>
              <w:bottom w:val="single" w:color="auto" w:sz="8" w:space="0"/>
              <w:right w:val="nil"/>
            </w:tcBorders>
            <w:noWrap w:val="0"/>
            <w:vAlign w:val="top"/>
          </w:tcPr>
          <w:p>
            <w:pPr>
              <w:rPr>
                <w:rFonts w:ascii="宋体" w:hAnsi="宋体"/>
                <w:bCs/>
                <w:sz w:val="18"/>
                <w:szCs w:val="18"/>
              </w:rPr>
            </w:pPr>
          </w:p>
        </w:tc>
        <w:tc>
          <w:tcPr>
            <w:tcW w:w="620" w:type="dxa"/>
            <w:tcBorders>
              <w:top w:val="nil"/>
              <w:left w:val="nil"/>
              <w:bottom w:val="single" w:color="auto" w:sz="8" w:space="0"/>
              <w:right w:val="nil"/>
            </w:tcBorders>
            <w:noWrap w:val="0"/>
            <w:vAlign w:val="top"/>
          </w:tcPr>
          <w:p>
            <w:pPr>
              <w:rPr>
                <w:rFonts w:ascii="宋体" w:hAnsi="宋体"/>
                <w:bCs/>
                <w:sz w:val="18"/>
                <w:szCs w:val="18"/>
              </w:rPr>
            </w:pPr>
          </w:p>
        </w:tc>
        <w:tc>
          <w:tcPr>
            <w:tcW w:w="1065" w:type="dxa"/>
            <w:tcBorders>
              <w:top w:val="nil"/>
              <w:left w:val="nil"/>
              <w:bottom w:val="single" w:color="auto" w:sz="8" w:space="0"/>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6"/>
        <w:tblW w:w="9843"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902"/>
        <w:gridCol w:w="913"/>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92" w:type="dxa"/>
            <w:gridSpan w:val="2"/>
            <w:vMerge w:val="restart"/>
            <w:tcBorders>
              <w:top w:val="single" w:color="auto" w:sz="8"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13" w:type="dxa"/>
            <w:vMerge w:val="restart"/>
            <w:tcBorders>
              <w:top w:val="single" w:color="auto" w:sz="8" w:space="0"/>
              <w:left w:val="single" w:color="auto" w:sz="2" w:space="0"/>
              <w:bottom w:val="single" w:color="auto" w:sz="2" w:space="0"/>
            </w:tcBorders>
            <w:noWrap w:val="0"/>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noWrap w:val="0"/>
            <w:vAlign w:val="top"/>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noWrap w:val="0"/>
            <w:vAlign w:val="top"/>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noWrap w:val="0"/>
            <w:vAlign w:val="top"/>
          </w:tcPr>
          <w:p>
            <w:pPr>
              <w:rPr>
                <w:rFonts w:ascii="宋体" w:hAnsi="宋体"/>
                <w:bCs/>
                <w:sz w:val="18"/>
                <w:szCs w:val="18"/>
              </w:rPr>
            </w:pPr>
          </w:p>
        </w:tc>
        <w:tc>
          <w:tcPr>
            <w:tcW w:w="1892" w:type="dxa"/>
            <w:gridSpan w:val="2"/>
            <w:vMerge w:val="continue"/>
            <w:tcBorders>
              <w:top w:val="single" w:color="auto" w:sz="2" w:space="0"/>
              <w:left w:val="single" w:color="auto" w:sz="2" w:space="0"/>
              <w:bottom w:val="single" w:color="auto" w:sz="2" w:space="0"/>
              <w:right w:val="single" w:color="auto" w:sz="2" w:space="0"/>
            </w:tcBorders>
            <w:noWrap w:val="0"/>
            <w:vAlign w:val="top"/>
          </w:tcPr>
          <w:p>
            <w:pPr>
              <w:ind w:right="-107" w:rightChars="-51"/>
              <w:jc w:val="center"/>
              <w:rPr>
                <w:rFonts w:ascii="宋体" w:hAnsi="宋体"/>
                <w:bCs/>
                <w:sz w:val="18"/>
                <w:szCs w:val="18"/>
              </w:rPr>
            </w:pPr>
          </w:p>
        </w:tc>
        <w:tc>
          <w:tcPr>
            <w:tcW w:w="913" w:type="dxa"/>
            <w:vMerge w:val="continue"/>
            <w:tcBorders>
              <w:top w:val="single" w:color="auto" w:sz="2" w:space="0"/>
              <w:left w:val="single" w:color="auto" w:sz="2" w:space="0"/>
              <w:bottom w:val="single" w:color="auto" w:sz="2" w:space="0"/>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noWrap w:val="0"/>
            <w:vAlign w:val="top"/>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小计</w:t>
            </w:r>
          </w:p>
        </w:tc>
        <w:tc>
          <w:tcPr>
            <w:tcW w:w="902" w:type="dxa"/>
            <w:tcBorders>
              <w:top w:val="single" w:color="auto" w:sz="2"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护士</w:t>
            </w:r>
          </w:p>
        </w:tc>
        <w:tc>
          <w:tcPr>
            <w:tcW w:w="913" w:type="dxa"/>
            <w:vMerge w:val="continue"/>
            <w:tcBorders>
              <w:top w:val="single" w:color="auto" w:sz="2" w:space="0"/>
              <w:left w:val="single" w:color="auto" w:sz="2" w:space="0"/>
              <w:bottom w:val="single" w:color="auto" w:sz="2" w:space="0"/>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21</w:t>
            </w:r>
          </w:p>
        </w:tc>
        <w:tc>
          <w:tcPr>
            <w:tcW w:w="90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22</w:t>
            </w:r>
          </w:p>
        </w:tc>
        <w:tc>
          <w:tcPr>
            <w:tcW w:w="913" w:type="dxa"/>
            <w:tcBorders>
              <w:top w:val="single" w:color="auto" w:sz="2" w:space="0"/>
              <w:left w:val="single" w:color="auto" w:sz="2" w:space="0"/>
              <w:bottom w:val="single" w:color="auto" w:sz="8" w:space="0"/>
            </w:tcBorders>
            <w:noWrap w:val="0"/>
            <w:vAlign w:val="top"/>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noWrap w:val="0"/>
            <w:vAlign w:val="top"/>
          </w:tcPr>
          <w:p>
            <w:pPr>
              <w:rPr>
                <w:rFonts w:ascii="宋体" w:hAnsi="宋体"/>
                <w:bCs/>
                <w:sz w:val="18"/>
                <w:szCs w:val="18"/>
              </w:rPr>
            </w:pPr>
          </w:p>
        </w:tc>
        <w:tc>
          <w:tcPr>
            <w:tcW w:w="719" w:type="dxa"/>
            <w:tcBorders>
              <w:top w:val="single" w:color="auto" w:sz="8" w:space="0"/>
              <w:left w:val="nil"/>
              <w:bottom w:val="nil"/>
              <w:right w:val="nil"/>
            </w:tcBorders>
            <w:noWrap w:val="0"/>
            <w:vAlign w:val="top"/>
          </w:tcPr>
          <w:p>
            <w:pPr>
              <w:rPr>
                <w:rFonts w:ascii="宋体" w:hAnsi="宋体"/>
                <w:bCs/>
                <w:sz w:val="18"/>
                <w:szCs w:val="18"/>
              </w:rPr>
            </w:pPr>
          </w:p>
        </w:tc>
        <w:tc>
          <w:tcPr>
            <w:tcW w:w="828" w:type="dxa"/>
            <w:tcBorders>
              <w:top w:val="single" w:color="auto" w:sz="8" w:space="0"/>
              <w:left w:val="nil"/>
              <w:bottom w:val="nil"/>
              <w:right w:val="nil"/>
            </w:tcBorders>
            <w:noWrap w:val="0"/>
            <w:vAlign w:val="top"/>
          </w:tcPr>
          <w:p>
            <w:pPr>
              <w:rPr>
                <w:rFonts w:ascii="宋体" w:hAnsi="宋体"/>
                <w:bCs/>
                <w:sz w:val="18"/>
                <w:szCs w:val="18"/>
              </w:rPr>
            </w:pPr>
          </w:p>
        </w:tc>
        <w:tc>
          <w:tcPr>
            <w:tcW w:w="1080" w:type="dxa"/>
            <w:tcBorders>
              <w:top w:val="single" w:color="auto" w:sz="8" w:space="0"/>
              <w:left w:val="nil"/>
              <w:bottom w:val="nil"/>
              <w:right w:val="nil"/>
            </w:tcBorders>
            <w:noWrap w:val="0"/>
            <w:vAlign w:val="top"/>
          </w:tcPr>
          <w:p>
            <w:pPr>
              <w:rPr>
                <w:rFonts w:ascii="宋体" w:hAnsi="宋体"/>
                <w:bCs/>
                <w:sz w:val="18"/>
                <w:szCs w:val="18"/>
              </w:rPr>
            </w:pPr>
          </w:p>
        </w:tc>
        <w:tc>
          <w:tcPr>
            <w:tcW w:w="972" w:type="dxa"/>
            <w:tcBorders>
              <w:top w:val="single" w:color="auto" w:sz="8" w:space="0"/>
              <w:left w:val="nil"/>
              <w:bottom w:val="nil"/>
              <w:right w:val="nil"/>
            </w:tcBorders>
            <w:noWrap w:val="0"/>
            <w:vAlign w:val="top"/>
          </w:tcPr>
          <w:p>
            <w:pPr>
              <w:rPr>
                <w:rFonts w:ascii="宋体" w:hAnsi="宋体"/>
                <w:bCs/>
                <w:sz w:val="18"/>
                <w:szCs w:val="18"/>
              </w:rPr>
            </w:pPr>
          </w:p>
        </w:tc>
        <w:tc>
          <w:tcPr>
            <w:tcW w:w="756" w:type="dxa"/>
            <w:tcBorders>
              <w:top w:val="single" w:color="auto" w:sz="8" w:space="0"/>
              <w:left w:val="nil"/>
              <w:bottom w:val="nil"/>
              <w:right w:val="nil"/>
            </w:tcBorders>
            <w:noWrap w:val="0"/>
            <w:vAlign w:val="top"/>
          </w:tcPr>
          <w:p>
            <w:pPr>
              <w:rPr>
                <w:rFonts w:ascii="宋体" w:hAnsi="宋体"/>
                <w:bCs/>
                <w:sz w:val="18"/>
                <w:szCs w:val="18"/>
              </w:rPr>
            </w:pPr>
          </w:p>
        </w:tc>
        <w:tc>
          <w:tcPr>
            <w:tcW w:w="864" w:type="dxa"/>
            <w:tcBorders>
              <w:top w:val="single" w:color="auto" w:sz="8" w:space="0"/>
              <w:left w:val="nil"/>
              <w:bottom w:val="nil"/>
              <w:right w:val="nil"/>
            </w:tcBorders>
            <w:noWrap w:val="0"/>
            <w:vAlign w:val="top"/>
          </w:tcPr>
          <w:p>
            <w:pPr>
              <w:rPr>
                <w:rFonts w:ascii="宋体" w:hAnsi="宋体"/>
                <w:bCs/>
                <w:sz w:val="18"/>
                <w:szCs w:val="18"/>
              </w:rPr>
            </w:pPr>
          </w:p>
        </w:tc>
        <w:tc>
          <w:tcPr>
            <w:tcW w:w="992" w:type="dxa"/>
            <w:tcBorders>
              <w:top w:val="single" w:color="auto" w:sz="8" w:space="0"/>
              <w:left w:val="nil"/>
              <w:bottom w:val="nil"/>
              <w:right w:val="nil"/>
            </w:tcBorders>
            <w:noWrap w:val="0"/>
            <w:vAlign w:val="top"/>
          </w:tcPr>
          <w:p>
            <w:pPr>
              <w:rPr>
                <w:rFonts w:ascii="宋体" w:hAnsi="宋体"/>
                <w:bCs/>
                <w:sz w:val="18"/>
                <w:szCs w:val="18"/>
              </w:rPr>
            </w:pPr>
          </w:p>
        </w:tc>
        <w:tc>
          <w:tcPr>
            <w:tcW w:w="990" w:type="dxa"/>
            <w:tcBorders>
              <w:top w:val="single" w:color="auto" w:sz="8" w:space="0"/>
              <w:left w:val="nil"/>
              <w:bottom w:val="nil"/>
              <w:right w:val="nil"/>
            </w:tcBorders>
            <w:noWrap w:val="0"/>
            <w:vAlign w:val="top"/>
          </w:tcPr>
          <w:p>
            <w:pPr>
              <w:rPr>
                <w:rFonts w:ascii="宋体" w:hAnsi="宋体"/>
                <w:bCs/>
                <w:sz w:val="18"/>
                <w:szCs w:val="18"/>
              </w:rPr>
            </w:pPr>
          </w:p>
        </w:tc>
        <w:tc>
          <w:tcPr>
            <w:tcW w:w="902" w:type="dxa"/>
            <w:tcBorders>
              <w:top w:val="single" w:color="auto" w:sz="8" w:space="0"/>
              <w:left w:val="nil"/>
              <w:bottom w:val="nil"/>
              <w:right w:val="nil"/>
            </w:tcBorders>
            <w:noWrap w:val="0"/>
            <w:vAlign w:val="top"/>
          </w:tcPr>
          <w:p>
            <w:pPr>
              <w:rPr>
                <w:rFonts w:ascii="宋体" w:hAnsi="宋体"/>
                <w:bCs/>
                <w:sz w:val="18"/>
                <w:szCs w:val="18"/>
              </w:rPr>
            </w:pPr>
          </w:p>
        </w:tc>
        <w:tc>
          <w:tcPr>
            <w:tcW w:w="913" w:type="dxa"/>
            <w:tcBorders>
              <w:top w:val="single" w:color="auto" w:sz="8" w:space="0"/>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902" w:type="dxa"/>
            <w:tcBorders>
              <w:top w:val="nil"/>
              <w:left w:val="nil"/>
              <w:bottom w:val="nil"/>
              <w:right w:val="nil"/>
            </w:tcBorders>
            <w:noWrap w:val="0"/>
            <w:vAlign w:val="top"/>
          </w:tcPr>
          <w:p>
            <w:pPr>
              <w:rPr>
                <w:rFonts w:ascii="宋体" w:hAnsi="宋体"/>
                <w:bCs/>
                <w:sz w:val="18"/>
                <w:szCs w:val="18"/>
              </w:rPr>
            </w:pPr>
          </w:p>
        </w:tc>
        <w:tc>
          <w:tcPr>
            <w:tcW w:w="913"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902" w:type="dxa"/>
            <w:tcBorders>
              <w:top w:val="nil"/>
              <w:left w:val="nil"/>
              <w:bottom w:val="nil"/>
              <w:right w:val="nil"/>
            </w:tcBorders>
            <w:noWrap w:val="0"/>
            <w:vAlign w:val="top"/>
          </w:tcPr>
          <w:p>
            <w:pPr>
              <w:rPr>
                <w:rFonts w:ascii="宋体" w:hAnsi="宋体"/>
                <w:bCs/>
                <w:sz w:val="18"/>
                <w:szCs w:val="18"/>
              </w:rPr>
            </w:pPr>
          </w:p>
        </w:tc>
        <w:tc>
          <w:tcPr>
            <w:tcW w:w="913"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902" w:type="dxa"/>
            <w:tcBorders>
              <w:top w:val="nil"/>
              <w:left w:val="nil"/>
              <w:bottom w:val="nil"/>
              <w:right w:val="nil"/>
            </w:tcBorders>
            <w:noWrap w:val="0"/>
            <w:vAlign w:val="top"/>
          </w:tcPr>
          <w:p>
            <w:pPr>
              <w:rPr>
                <w:rFonts w:ascii="宋体" w:hAnsi="宋体"/>
                <w:bCs/>
                <w:sz w:val="18"/>
                <w:szCs w:val="18"/>
              </w:rPr>
            </w:pPr>
          </w:p>
        </w:tc>
        <w:tc>
          <w:tcPr>
            <w:tcW w:w="913"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noWrap w:val="0"/>
            <w:vAlign w:val="top"/>
          </w:tcPr>
          <w:p>
            <w:pPr>
              <w:rPr>
                <w:rFonts w:ascii="宋体" w:hAnsi="宋体"/>
                <w:bCs/>
                <w:sz w:val="18"/>
                <w:szCs w:val="18"/>
              </w:rPr>
            </w:pPr>
          </w:p>
        </w:tc>
        <w:tc>
          <w:tcPr>
            <w:tcW w:w="719" w:type="dxa"/>
            <w:tcBorders>
              <w:top w:val="nil"/>
              <w:left w:val="nil"/>
              <w:bottom w:val="single" w:color="auto" w:sz="8" w:space="0"/>
              <w:right w:val="nil"/>
            </w:tcBorders>
            <w:noWrap w:val="0"/>
            <w:vAlign w:val="top"/>
          </w:tcPr>
          <w:p>
            <w:pPr>
              <w:rPr>
                <w:rFonts w:ascii="宋体" w:hAnsi="宋体"/>
                <w:bCs/>
                <w:sz w:val="18"/>
                <w:szCs w:val="18"/>
              </w:rPr>
            </w:pPr>
          </w:p>
        </w:tc>
        <w:tc>
          <w:tcPr>
            <w:tcW w:w="828" w:type="dxa"/>
            <w:tcBorders>
              <w:top w:val="nil"/>
              <w:left w:val="nil"/>
              <w:bottom w:val="single" w:color="auto" w:sz="8" w:space="0"/>
              <w:right w:val="nil"/>
            </w:tcBorders>
            <w:noWrap w:val="0"/>
            <w:vAlign w:val="top"/>
          </w:tcPr>
          <w:p>
            <w:pPr>
              <w:rPr>
                <w:rFonts w:ascii="宋体" w:hAnsi="宋体"/>
                <w:bCs/>
                <w:sz w:val="18"/>
                <w:szCs w:val="18"/>
              </w:rPr>
            </w:pPr>
          </w:p>
        </w:tc>
        <w:tc>
          <w:tcPr>
            <w:tcW w:w="1080" w:type="dxa"/>
            <w:tcBorders>
              <w:top w:val="nil"/>
              <w:left w:val="nil"/>
              <w:bottom w:val="single" w:color="auto" w:sz="8" w:space="0"/>
              <w:right w:val="nil"/>
            </w:tcBorders>
            <w:noWrap w:val="0"/>
            <w:vAlign w:val="top"/>
          </w:tcPr>
          <w:p>
            <w:pPr>
              <w:rPr>
                <w:rFonts w:ascii="宋体" w:hAnsi="宋体"/>
                <w:bCs/>
                <w:sz w:val="18"/>
                <w:szCs w:val="18"/>
              </w:rPr>
            </w:pPr>
          </w:p>
        </w:tc>
        <w:tc>
          <w:tcPr>
            <w:tcW w:w="972" w:type="dxa"/>
            <w:tcBorders>
              <w:top w:val="nil"/>
              <w:left w:val="nil"/>
              <w:bottom w:val="single" w:color="auto" w:sz="8" w:space="0"/>
              <w:right w:val="nil"/>
            </w:tcBorders>
            <w:noWrap w:val="0"/>
            <w:vAlign w:val="top"/>
          </w:tcPr>
          <w:p>
            <w:pPr>
              <w:rPr>
                <w:rFonts w:ascii="宋体" w:hAnsi="宋体"/>
                <w:bCs/>
                <w:sz w:val="18"/>
                <w:szCs w:val="18"/>
              </w:rPr>
            </w:pPr>
          </w:p>
        </w:tc>
        <w:tc>
          <w:tcPr>
            <w:tcW w:w="756" w:type="dxa"/>
            <w:tcBorders>
              <w:top w:val="nil"/>
              <w:left w:val="nil"/>
              <w:bottom w:val="single" w:color="auto" w:sz="8" w:space="0"/>
              <w:right w:val="nil"/>
            </w:tcBorders>
            <w:noWrap w:val="0"/>
            <w:vAlign w:val="top"/>
          </w:tcPr>
          <w:p>
            <w:pPr>
              <w:rPr>
                <w:rFonts w:ascii="宋体" w:hAnsi="宋体"/>
                <w:bCs/>
                <w:sz w:val="18"/>
                <w:szCs w:val="18"/>
              </w:rPr>
            </w:pPr>
          </w:p>
        </w:tc>
        <w:tc>
          <w:tcPr>
            <w:tcW w:w="864" w:type="dxa"/>
            <w:tcBorders>
              <w:top w:val="nil"/>
              <w:left w:val="nil"/>
              <w:bottom w:val="single" w:color="auto" w:sz="8" w:space="0"/>
              <w:right w:val="nil"/>
            </w:tcBorders>
            <w:noWrap w:val="0"/>
            <w:vAlign w:val="top"/>
          </w:tcPr>
          <w:p>
            <w:pPr>
              <w:rPr>
                <w:rFonts w:ascii="宋体" w:hAnsi="宋体"/>
                <w:bCs/>
                <w:sz w:val="18"/>
                <w:szCs w:val="18"/>
              </w:rPr>
            </w:pPr>
          </w:p>
        </w:tc>
        <w:tc>
          <w:tcPr>
            <w:tcW w:w="992" w:type="dxa"/>
            <w:tcBorders>
              <w:top w:val="nil"/>
              <w:left w:val="nil"/>
              <w:bottom w:val="single" w:color="auto" w:sz="8" w:space="0"/>
              <w:right w:val="nil"/>
            </w:tcBorders>
            <w:noWrap w:val="0"/>
            <w:vAlign w:val="top"/>
          </w:tcPr>
          <w:p>
            <w:pPr>
              <w:rPr>
                <w:rFonts w:ascii="宋体" w:hAnsi="宋体"/>
                <w:bCs/>
                <w:sz w:val="18"/>
                <w:szCs w:val="18"/>
              </w:rPr>
            </w:pPr>
          </w:p>
        </w:tc>
        <w:tc>
          <w:tcPr>
            <w:tcW w:w="990" w:type="dxa"/>
            <w:tcBorders>
              <w:top w:val="nil"/>
              <w:left w:val="nil"/>
              <w:bottom w:val="single" w:color="auto" w:sz="8" w:space="0"/>
              <w:right w:val="nil"/>
            </w:tcBorders>
            <w:noWrap w:val="0"/>
            <w:vAlign w:val="top"/>
          </w:tcPr>
          <w:p>
            <w:pPr>
              <w:rPr>
                <w:rFonts w:ascii="宋体" w:hAnsi="宋体"/>
                <w:bCs/>
                <w:sz w:val="18"/>
                <w:szCs w:val="18"/>
              </w:rPr>
            </w:pPr>
          </w:p>
        </w:tc>
        <w:tc>
          <w:tcPr>
            <w:tcW w:w="902" w:type="dxa"/>
            <w:tcBorders>
              <w:top w:val="nil"/>
              <w:left w:val="nil"/>
              <w:bottom w:val="single" w:color="auto" w:sz="8" w:space="0"/>
              <w:right w:val="nil"/>
            </w:tcBorders>
            <w:noWrap w:val="0"/>
            <w:vAlign w:val="top"/>
          </w:tcPr>
          <w:p>
            <w:pPr>
              <w:rPr>
                <w:rFonts w:ascii="宋体" w:hAnsi="宋体"/>
                <w:bCs/>
                <w:sz w:val="18"/>
                <w:szCs w:val="18"/>
              </w:rPr>
            </w:pPr>
          </w:p>
        </w:tc>
        <w:tc>
          <w:tcPr>
            <w:tcW w:w="913" w:type="dxa"/>
            <w:tcBorders>
              <w:top w:val="nil"/>
              <w:left w:val="nil"/>
              <w:bottom w:val="single" w:color="auto" w:sz="8" w:space="0"/>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单位负责人：         统计负责人：         制表人：        联系电话：      报出日期：２０    年  月   日</w:t>
      </w:r>
    </w:p>
    <w:p>
      <w:pPr>
        <w:rPr>
          <w:rFonts w:ascii="宋体" w:hAnsi="宋体"/>
          <w:bCs/>
          <w:color w:val="FF0000"/>
          <w:sz w:val="18"/>
          <w:szCs w:val="18"/>
        </w:rPr>
      </w:pPr>
      <w:r>
        <w:rPr>
          <w:rFonts w:hint="eastAsia" w:ascii="宋体" w:hAnsi="宋体"/>
          <w:bCs/>
          <w:sz w:val="18"/>
          <w:szCs w:val="18"/>
        </w:rPr>
        <w:t>说明：1、本表综合反映报告月份企业对外劳务合作业务期末在外人员的构成情况。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ind w:right="-334" w:rightChars="-159"/>
        <w:rPr>
          <w:rFonts w:ascii="宋体" w:hAnsi="宋体"/>
          <w:bCs/>
          <w:sz w:val="18"/>
          <w:szCs w:val="18"/>
        </w:rPr>
      </w:pPr>
      <w:r>
        <w:rPr>
          <w:rFonts w:hint="eastAsia" w:ascii="宋体" w:hAnsi="宋体"/>
          <w:bCs/>
          <w:sz w:val="18"/>
          <w:szCs w:val="18"/>
        </w:rPr>
        <w:t xml:space="preserve">      3、如国家（地区）和项目涉及派出渔船船员劳务，渔船船员项下应分别填报远洋人数和近海人数。</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
          <w:bCs/>
          <w:sz w:val="18"/>
          <w:szCs w:val="18"/>
        </w:rPr>
      </w:pPr>
      <w:r>
        <w:rPr>
          <w:rFonts w:hint="eastAsia" w:ascii="宋体" w:hAnsi="宋体"/>
          <w:bCs/>
          <w:sz w:val="18"/>
          <w:szCs w:val="18"/>
        </w:rPr>
        <w:t xml:space="preserve">   </w:t>
      </w:r>
    </w:p>
    <w:p>
      <w:pPr>
        <w:rPr>
          <w:rFonts w:ascii="宋体" w:hAnsi="宋体"/>
          <w:b/>
          <w:bCs/>
          <w:sz w:val="18"/>
          <w:szCs w:val="18"/>
        </w:rPr>
      </w:pPr>
    </w:p>
    <w:p>
      <w:pPr>
        <w:jc w:val="center"/>
        <w:rPr>
          <w:rFonts w:ascii="宋体" w:hAnsi="宋体"/>
          <w:sz w:val="32"/>
          <w:szCs w:val="32"/>
        </w:rPr>
      </w:pPr>
      <w:r>
        <w:rPr>
          <w:rFonts w:hint="eastAsia" w:ascii="宋体" w:hAnsi="宋体"/>
          <w:sz w:val="32"/>
          <w:szCs w:val="32"/>
        </w:rPr>
        <w:br w:type="page"/>
      </w:r>
      <w:r>
        <w:rPr>
          <w:rFonts w:hint="eastAsia" w:ascii="宋体" w:hAnsi="宋体"/>
          <w:sz w:val="32"/>
          <w:szCs w:val="32"/>
        </w:rPr>
        <w:t>对外劳务合作项目明细</w:t>
      </w:r>
    </w:p>
    <w:p>
      <w:pPr>
        <w:jc w:val="center"/>
        <w:rPr>
          <w:rFonts w:ascii="宋体" w:hAnsi="宋体"/>
          <w:szCs w:val="21"/>
        </w:rPr>
      </w:pPr>
    </w:p>
    <w:tbl>
      <w:tblPr>
        <w:tblStyle w:val="6"/>
        <w:tblW w:w="9960" w:type="dxa"/>
        <w:tblInd w:w="93" w:type="dxa"/>
        <w:tblLayout w:type="fixed"/>
        <w:tblCellMar>
          <w:top w:w="0" w:type="dxa"/>
          <w:left w:w="108" w:type="dxa"/>
          <w:bottom w:w="0" w:type="dxa"/>
          <w:right w:w="108" w:type="dxa"/>
        </w:tblCellMar>
      </w:tblPr>
      <w:tblGrid>
        <w:gridCol w:w="6167"/>
        <w:gridCol w:w="3793"/>
      </w:tblGrid>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号：LW3</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有效期至：2024年12月 </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计量单位：万美元、美元、人</w:t>
            </w:r>
          </w:p>
        </w:tc>
      </w:tr>
    </w:tbl>
    <w:p>
      <w:pPr>
        <w:ind w:right="420"/>
        <w:jc w:val="center"/>
        <w:rPr>
          <w:rFonts w:ascii="宋体" w:hAnsi="宋体"/>
          <w:bCs/>
          <w:sz w:val="18"/>
          <w:szCs w:val="18"/>
        </w:rPr>
      </w:pPr>
      <w:r>
        <w:rPr>
          <w:rFonts w:hint="eastAsia" w:ascii="宋体" w:hAnsi="宋体"/>
          <w:bCs/>
          <w:sz w:val="18"/>
          <w:szCs w:val="18"/>
        </w:rPr>
        <w:t>２０   年      月</w:t>
      </w:r>
    </w:p>
    <w:tbl>
      <w:tblPr>
        <w:tblStyle w:val="6"/>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02"/>
        <w:gridCol w:w="1980"/>
        <w:gridCol w:w="175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rPr>
        <w:tc>
          <w:tcPr>
            <w:tcW w:w="1908" w:type="dxa"/>
            <w:tcBorders>
              <w:top w:val="single" w:color="auto" w:sz="8" w:space="0"/>
              <w:left w:val="nil"/>
              <w:bottom w:val="single" w:color="auto" w:sz="2" w:space="0"/>
              <w:right w:val="single" w:color="auto" w:sz="2" w:space="0"/>
              <w:tl2br w:val="single" w:color="auto" w:sz="2" w:space="0"/>
            </w:tcBorders>
            <w:noWrap w:val="0"/>
            <w:vAlign w:val="top"/>
          </w:tcPr>
          <w:p>
            <w:pPr>
              <w:rPr>
                <w:rFonts w:ascii="宋体" w:hAnsi="宋体"/>
                <w:bCs/>
                <w:sz w:val="18"/>
                <w:szCs w:val="18"/>
              </w:rPr>
            </w:pPr>
            <w:r>
              <w:rPr>
                <w:rFonts w:hint="eastAsia" w:ascii="宋体" w:hAnsi="宋体"/>
                <w:bCs/>
                <w:sz w:val="18"/>
                <w:szCs w:val="18"/>
              </w:rPr>
              <w:t xml:space="preserve">         指标</w:t>
            </w: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2102" w:type="dxa"/>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项目所在国家（地区）</w:t>
            </w:r>
          </w:p>
        </w:tc>
        <w:tc>
          <w:tcPr>
            <w:tcW w:w="1980" w:type="dxa"/>
            <w:tcBorders>
              <w:top w:val="single" w:color="auto" w:sz="8"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外方签约</w:t>
            </w:r>
          </w:p>
          <w:p>
            <w:pPr>
              <w:jc w:val="center"/>
              <w:rPr>
                <w:rFonts w:ascii="宋体" w:hAnsi="宋体"/>
                <w:bCs/>
                <w:sz w:val="18"/>
                <w:szCs w:val="18"/>
              </w:rPr>
            </w:pPr>
            <w:r>
              <w:rPr>
                <w:rFonts w:hint="eastAsia" w:ascii="宋体" w:hAnsi="宋体"/>
                <w:bCs/>
                <w:sz w:val="18"/>
                <w:szCs w:val="18"/>
              </w:rPr>
              <w:t>单位</w:t>
            </w:r>
          </w:p>
        </w:tc>
        <w:tc>
          <w:tcPr>
            <w:tcW w:w="1755" w:type="dxa"/>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雇主</w:t>
            </w:r>
          </w:p>
          <w:p>
            <w:pPr>
              <w:ind w:left="-107" w:leftChars="-51"/>
              <w:jc w:val="center"/>
              <w:rPr>
                <w:rFonts w:ascii="宋体" w:hAnsi="宋体"/>
                <w:bCs/>
                <w:sz w:val="18"/>
                <w:szCs w:val="18"/>
              </w:rPr>
            </w:pPr>
            <w:r>
              <w:rPr>
                <w:rFonts w:hint="eastAsia" w:ascii="宋体" w:hAnsi="宋体"/>
                <w:bCs/>
                <w:sz w:val="18"/>
                <w:szCs w:val="18"/>
              </w:rPr>
              <w:t xml:space="preserve"> 名称</w:t>
            </w:r>
          </w:p>
        </w:tc>
        <w:tc>
          <w:tcPr>
            <w:tcW w:w="2160" w:type="dxa"/>
            <w:tcBorders>
              <w:top w:val="single" w:color="auto" w:sz="8" w:space="0"/>
              <w:left w:val="single" w:color="auto" w:sz="2" w:space="0"/>
              <w:bottom w:val="single" w:color="auto" w:sz="2" w:space="0"/>
              <w:right w:val="nil"/>
            </w:tcBorders>
            <w:noWrap w:val="0"/>
            <w:vAlign w:val="center"/>
          </w:tcPr>
          <w:p>
            <w:pPr>
              <w:jc w:val="center"/>
              <w:rPr>
                <w:rFonts w:ascii="宋体" w:hAnsi="宋体"/>
                <w:bCs/>
                <w:sz w:val="18"/>
                <w:szCs w:val="18"/>
              </w:rPr>
            </w:pPr>
            <w:r>
              <w:rPr>
                <w:rFonts w:hint="eastAsia" w:ascii="宋体" w:hAnsi="宋体"/>
                <w:bCs/>
                <w:sz w:val="18"/>
                <w:szCs w:val="18"/>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2102"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1980"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1755"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2160" w:type="dxa"/>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r>
              <w:rPr>
                <w:rFonts w:hint="eastAsia" w:ascii="宋体" w:hAnsi="宋体"/>
                <w:bCs/>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合    计</w:t>
            </w:r>
          </w:p>
        </w:tc>
        <w:tc>
          <w:tcPr>
            <w:tcW w:w="2102" w:type="dxa"/>
            <w:tcBorders>
              <w:top w:val="single" w:color="auto" w:sz="2" w:space="0"/>
              <w:left w:val="single" w:color="auto" w:sz="2" w:space="0"/>
              <w:bottom w:val="single" w:color="auto" w:sz="8" w:space="0"/>
              <w:right w:val="single" w:color="auto" w:sz="2" w:space="0"/>
            </w:tcBorders>
            <w:noWrap w:val="0"/>
            <w:vAlign w:val="top"/>
          </w:tcPr>
          <w:p>
            <w:pPr>
              <w:rPr>
                <w:rFonts w:ascii="宋体" w:hAnsi="宋体"/>
                <w:bCs/>
                <w:sz w:val="18"/>
                <w:szCs w:val="18"/>
              </w:rPr>
            </w:pPr>
          </w:p>
        </w:tc>
        <w:tc>
          <w:tcPr>
            <w:tcW w:w="1980" w:type="dxa"/>
            <w:tcBorders>
              <w:top w:val="single" w:color="auto" w:sz="2" w:space="0"/>
              <w:left w:val="single" w:color="auto" w:sz="2" w:space="0"/>
              <w:bottom w:val="single" w:color="auto" w:sz="8" w:space="0"/>
              <w:right w:val="single" w:color="auto" w:sz="2" w:space="0"/>
            </w:tcBorders>
            <w:noWrap w:val="0"/>
            <w:vAlign w:val="top"/>
          </w:tcPr>
          <w:p>
            <w:pPr>
              <w:rPr>
                <w:rFonts w:ascii="宋体" w:hAnsi="宋体"/>
                <w:bCs/>
                <w:sz w:val="18"/>
                <w:szCs w:val="18"/>
              </w:rPr>
            </w:pPr>
          </w:p>
        </w:tc>
        <w:tc>
          <w:tcPr>
            <w:tcW w:w="1755" w:type="dxa"/>
            <w:tcBorders>
              <w:top w:val="single" w:color="auto" w:sz="2" w:space="0"/>
              <w:left w:val="single" w:color="auto" w:sz="2" w:space="0"/>
              <w:bottom w:val="single" w:color="auto" w:sz="8" w:space="0"/>
              <w:right w:val="single" w:color="auto" w:sz="2" w:space="0"/>
            </w:tcBorders>
            <w:noWrap w:val="0"/>
            <w:vAlign w:val="top"/>
          </w:tcPr>
          <w:p>
            <w:pPr>
              <w:rPr>
                <w:rFonts w:ascii="宋体" w:hAnsi="宋体"/>
                <w:bCs/>
                <w:sz w:val="18"/>
                <w:szCs w:val="18"/>
              </w:rPr>
            </w:pPr>
          </w:p>
        </w:tc>
        <w:tc>
          <w:tcPr>
            <w:tcW w:w="2160" w:type="dxa"/>
            <w:tcBorders>
              <w:top w:val="single" w:color="auto" w:sz="2" w:space="0"/>
              <w:left w:val="single" w:color="auto" w:sz="2" w:space="0"/>
              <w:bottom w:val="single" w:color="auto" w:sz="8" w:space="0"/>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8" w:space="0"/>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XX项目</w:t>
            </w:r>
          </w:p>
        </w:tc>
        <w:tc>
          <w:tcPr>
            <w:tcW w:w="2102" w:type="dxa"/>
            <w:tcBorders>
              <w:top w:val="single" w:color="auto" w:sz="8" w:space="0"/>
              <w:left w:val="single" w:color="auto" w:sz="2" w:space="0"/>
              <w:bottom w:val="nil"/>
              <w:right w:val="nil"/>
            </w:tcBorders>
            <w:noWrap w:val="0"/>
            <w:vAlign w:val="top"/>
          </w:tcPr>
          <w:p>
            <w:pPr>
              <w:rPr>
                <w:rFonts w:ascii="宋体" w:hAnsi="宋体"/>
                <w:bCs/>
                <w:sz w:val="18"/>
                <w:szCs w:val="18"/>
              </w:rPr>
            </w:pPr>
          </w:p>
        </w:tc>
        <w:tc>
          <w:tcPr>
            <w:tcW w:w="1980" w:type="dxa"/>
            <w:tcBorders>
              <w:top w:val="single" w:color="auto" w:sz="8" w:space="0"/>
              <w:left w:val="nil"/>
              <w:bottom w:val="nil"/>
              <w:right w:val="nil"/>
            </w:tcBorders>
            <w:noWrap w:val="0"/>
            <w:vAlign w:val="top"/>
          </w:tcPr>
          <w:p>
            <w:pPr>
              <w:rPr>
                <w:rFonts w:ascii="宋体" w:hAnsi="宋体"/>
                <w:bCs/>
                <w:sz w:val="18"/>
                <w:szCs w:val="18"/>
              </w:rPr>
            </w:pPr>
          </w:p>
        </w:tc>
        <w:tc>
          <w:tcPr>
            <w:tcW w:w="1755" w:type="dxa"/>
            <w:tcBorders>
              <w:top w:val="single" w:color="auto" w:sz="8" w:space="0"/>
              <w:left w:val="nil"/>
              <w:bottom w:val="nil"/>
              <w:right w:val="nil"/>
            </w:tcBorders>
            <w:noWrap w:val="0"/>
            <w:vAlign w:val="top"/>
          </w:tcPr>
          <w:p>
            <w:pPr>
              <w:rPr>
                <w:rFonts w:ascii="宋体" w:hAnsi="宋体"/>
                <w:bCs/>
                <w:sz w:val="18"/>
                <w:szCs w:val="18"/>
              </w:rPr>
            </w:pPr>
          </w:p>
        </w:tc>
        <w:tc>
          <w:tcPr>
            <w:tcW w:w="2160" w:type="dxa"/>
            <w:tcBorders>
              <w:top w:val="single" w:color="auto" w:sz="8" w:space="0"/>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XX项目</w:t>
            </w:r>
          </w:p>
        </w:tc>
        <w:tc>
          <w:tcPr>
            <w:tcW w:w="2102" w:type="dxa"/>
            <w:tcBorders>
              <w:top w:val="nil"/>
              <w:left w:val="single" w:color="auto" w:sz="2" w:space="0"/>
              <w:bottom w:val="nil"/>
              <w:right w:val="nil"/>
            </w:tcBorders>
            <w:noWrap w:val="0"/>
            <w:vAlign w:val="top"/>
          </w:tcPr>
          <w:p>
            <w:pPr>
              <w:rPr>
                <w:rFonts w:ascii="宋体" w:hAnsi="宋体"/>
                <w:bCs/>
                <w:sz w:val="18"/>
                <w:szCs w:val="18"/>
              </w:rPr>
            </w:pPr>
          </w:p>
        </w:tc>
        <w:tc>
          <w:tcPr>
            <w:tcW w:w="1980" w:type="dxa"/>
            <w:tcBorders>
              <w:top w:val="nil"/>
              <w:left w:val="nil"/>
              <w:bottom w:val="nil"/>
              <w:right w:val="nil"/>
            </w:tcBorders>
            <w:noWrap w:val="0"/>
            <w:vAlign w:val="top"/>
          </w:tcPr>
          <w:p>
            <w:pPr>
              <w:rPr>
                <w:rFonts w:ascii="宋体" w:hAnsi="宋体"/>
                <w:bCs/>
                <w:sz w:val="18"/>
                <w:szCs w:val="18"/>
              </w:rPr>
            </w:pPr>
          </w:p>
        </w:tc>
        <w:tc>
          <w:tcPr>
            <w:tcW w:w="1755" w:type="dxa"/>
            <w:tcBorders>
              <w:top w:val="nil"/>
              <w:left w:val="nil"/>
              <w:bottom w:val="nil"/>
              <w:right w:val="nil"/>
            </w:tcBorders>
            <w:noWrap w:val="0"/>
            <w:vAlign w:val="top"/>
          </w:tcPr>
          <w:p>
            <w:pPr>
              <w:rPr>
                <w:rFonts w:ascii="宋体" w:hAnsi="宋体"/>
                <w:bCs/>
                <w:sz w:val="18"/>
                <w:szCs w:val="18"/>
              </w:rPr>
            </w:pPr>
          </w:p>
        </w:tc>
        <w:tc>
          <w:tcPr>
            <w:tcW w:w="2160"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noWrap w:val="0"/>
            <w:vAlign w:val="top"/>
          </w:tcPr>
          <w:p>
            <w:pPr>
              <w:ind w:firstLine="153" w:firstLineChars="85"/>
              <w:rPr>
                <w:rFonts w:ascii="宋体" w:hAnsi="宋体"/>
                <w:bCs/>
                <w:sz w:val="18"/>
                <w:szCs w:val="18"/>
              </w:rPr>
            </w:pPr>
            <w:r>
              <w:rPr>
                <w:rFonts w:ascii="宋体" w:hAnsi="宋体"/>
                <w:bCs/>
                <w:sz w:val="18"/>
                <w:szCs w:val="18"/>
              </w:rPr>
              <w:t>•</w:t>
            </w:r>
          </w:p>
        </w:tc>
        <w:tc>
          <w:tcPr>
            <w:tcW w:w="2102" w:type="dxa"/>
            <w:tcBorders>
              <w:top w:val="nil"/>
              <w:left w:val="single" w:color="auto" w:sz="2" w:space="0"/>
              <w:bottom w:val="nil"/>
              <w:right w:val="nil"/>
            </w:tcBorders>
            <w:noWrap w:val="0"/>
            <w:vAlign w:val="top"/>
          </w:tcPr>
          <w:p>
            <w:pPr>
              <w:rPr>
                <w:rFonts w:ascii="宋体" w:hAnsi="宋体"/>
                <w:bCs/>
                <w:sz w:val="18"/>
                <w:szCs w:val="18"/>
              </w:rPr>
            </w:pPr>
          </w:p>
        </w:tc>
        <w:tc>
          <w:tcPr>
            <w:tcW w:w="1980" w:type="dxa"/>
            <w:tcBorders>
              <w:top w:val="nil"/>
              <w:left w:val="nil"/>
              <w:bottom w:val="nil"/>
              <w:right w:val="nil"/>
            </w:tcBorders>
            <w:noWrap w:val="0"/>
            <w:vAlign w:val="top"/>
          </w:tcPr>
          <w:p>
            <w:pPr>
              <w:rPr>
                <w:rFonts w:ascii="宋体" w:hAnsi="宋体"/>
                <w:bCs/>
                <w:sz w:val="18"/>
                <w:szCs w:val="18"/>
              </w:rPr>
            </w:pPr>
          </w:p>
        </w:tc>
        <w:tc>
          <w:tcPr>
            <w:tcW w:w="1755" w:type="dxa"/>
            <w:tcBorders>
              <w:top w:val="nil"/>
              <w:left w:val="nil"/>
              <w:bottom w:val="nil"/>
              <w:right w:val="nil"/>
            </w:tcBorders>
            <w:noWrap w:val="0"/>
            <w:vAlign w:val="top"/>
          </w:tcPr>
          <w:p>
            <w:pPr>
              <w:rPr>
                <w:rFonts w:ascii="宋体" w:hAnsi="宋体"/>
                <w:bCs/>
                <w:sz w:val="18"/>
                <w:szCs w:val="18"/>
              </w:rPr>
            </w:pPr>
          </w:p>
        </w:tc>
        <w:tc>
          <w:tcPr>
            <w:tcW w:w="2160"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single" w:color="auto" w:sz="8" w:space="0"/>
              <w:right w:val="single" w:color="auto" w:sz="2" w:space="0"/>
            </w:tcBorders>
            <w:noWrap w:val="0"/>
            <w:vAlign w:val="top"/>
          </w:tcPr>
          <w:p>
            <w:pPr>
              <w:ind w:firstLine="180" w:firstLineChars="100"/>
              <w:rPr>
                <w:rFonts w:ascii="宋体" w:hAnsi="宋体"/>
                <w:bCs/>
                <w:sz w:val="18"/>
                <w:szCs w:val="18"/>
              </w:rPr>
            </w:pPr>
            <w:r>
              <w:rPr>
                <w:rFonts w:ascii="宋体" w:hAnsi="宋体"/>
                <w:bCs/>
                <w:sz w:val="18"/>
                <w:szCs w:val="18"/>
              </w:rPr>
              <w:t>•</w:t>
            </w:r>
          </w:p>
        </w:tc>
        <w:tc>
          <w:tcPr>
            <w:tcW w:w="2102" w:type="dxa"/>
            <w:tcBorders>
              <w:top w:val="nil"/>
              <w:left w:val="single" w:color="auto" w:sz="2" w:space="0"/>
              <w:bottom w:val="single" w:color="auto" w:sz="8" w:space="0"/>
              <w:right w:val="nil"/>
            </w:tcBorders>
            <w:noWrap w:val="0"/>
            <w:vAlign w:val="top"/>
          </w:tcPr>
          <w:p>
            <w:pPr>
              <w:rPr>
                <w:rFonts w:ascii="宋体" w:hAnsi="宋体"/>
                <w:bCs/>
                <w:sz w:val="18"/>
                <w:szCs w:val="18"/>
              </w:rPr>
            </w:pPr>
          </w:p>
        </w:tc>
        <w:tc>
          <w:tcPr>
            <w:tcW w:w="1980" w:type="dxa"/>
            <w:tcBorders>
              <w:top w:val="nil"/>
              <w:left w:val="nil"/>
              <w:bottom w:val="single" w:color="auto" w:sz="8" w:space="0"/>
              <w:right w:val="nil"/>
            </w:tcBorders>
            <w:noWrap w:val="0"/>
            <w:vAlign w:val="top"/>
          </w:tcPr>
          <w:p>
            <w:pPr>
              <w:rPr>
                <w:rFonts w:ascii="宋体" w:hAnsi="宋体"/>
                <w:bCs/>
                <w:sz w:val="18"/>
                <w:szCs w:val="18"/>
              </w:rPr>
            </w:pPr>
          </w:p>
        </w:tc>
        <w:tc>
          <w:tcPr>
            <w:tcW w:w="1755" w:type="dxa"/>
            <w:tcBorders>
              <w:top w:val="nil"/>
              <w:left w:val="nil"/>
              <w:bottom w:val="single" w:color="auto" w:sz="8" w:space="0"/>
              <w:right w:val="nil"/>
            </w:tcBorders>
            <w:noWrap w:val="0"/>
            <w:vAlign w:val="top"/>
          </w:tcPr>
          <w:p>
            <w:pPr>
              <w:rPr>
                <w:rFonts w:ascii="宋体" w:hAnsi="宋体"/>
                <w:bCs/>
                <w:sz w:val="18"/>
                <w:szCs w:val="18"/>
              </w:rPr>
            </w:pPr>
          </w:p>
        </w:tc>
        <w:tc>
          <w:tcPr>
            <w:tcW w:w="2160" w:type="dxa"/>
            <w:tcBorders>
              <w:top w:val="nil"/>
              <w:left w:val="nil"/>
              <w:bottom w:val="single" w:color="auto" w:sz="8" w:space="0"/>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6"/>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1458"/>
        <w:gridCol w:w="1530"/>
        <w:gridCol w:w="1134"/>
        <w:gridCol w:w="11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809" w:type="dxa"/>
            <w:vMerge w:val="restart"/>
            <w:tcBorders>
              <w:top w:val="single" w:color="auto" w:sz="8" w:space="0"/>
              <w:left w:val="nil"/>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新签劳务人员合同</w:t>
            </w:r>
          </w:p>
          <w:p>
            <w:pPr>
              <w:jc w:val="center"/>
              <w:rPr>
                <w:rFonts w:ascii="宋体" w:hAnsi="宋体"/>
                <w:bCs/>
                <w:sz w:val="18"/>
                <w:szCs w:val="18"/>
              </w:rPr>
            </w:pPr>
            <w:r>
              <w:rPr>
                <w:rFonts w:hint="eastAsia" w:ascii="宋体" w:hAnsi="宋体"/>
                <w:bCs/>
                <w:sz w:val="18"/>
                <w:szCs w:val="18"/>
              </w:rPr>
              <w:t>工资总额</w:t>
            </w:r>
          </w:p>
        </w:tc>
        <w:tc>
          <w:tcPr>
            <w:tcW w:w="1418"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劳务人员实际收入总额</w:t>
            </w:r>
          </w:p>
          <w:p>
            <w:pPr>
              <w:jc w:val="center"/>
              <w:rPr>
                <w:rFonts w:ascii="宋体" w:hAnsi="宋体"/>
                <w:bCs/>
                <w:sz w:val="18"/>
                <w:szCs w:val="18"/>
              </w:rPr>
            </w:pPr>
          </w:p>
        </w:tc>
        <w:tc>
          <w:tcPr>
            <w:tcW w:w="1458"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劳务人员实际月平均工资</w:t>
            </w:r>
          </w:p>
          <w:p>
            <w:pPr>
              <w:jc w:val="center"/>
              <w:rPr>
                <w:rFonts w:ascii="宋体" w:hAnsi="宋体"/>
                <w:bCs/>
                <w:sz w:val="18"/>
                <w:szCs w:val="18"/>
              </w:rPr>
            </w:pPr>
          </w:p>
        </w:tc>
        <w:tc>
          <w:tcPr>
            <w:tcW w:w="1530" w:type="dxa"/>
            <w:vMerge w:val="restart"/>
            <w:tcBorders>
              <w:top w:val="single" w:color="auto" w:sz="8" w:space="0"/>
              <w:left w:val="single" w:color="auto" w:sz="2" w:space="0"/>
              <w:bottom w:val="single" w:color="auto" w:sz="2" w:space="0"/>
              <w:right w:val="nil"/>
            </w:tcBorders>
            <w:noWrap w:val="0"/>
            <w:vAlign w:val="center"/>
          </w:tcPr>
          <w:p>
            <w:pPr>
              <w:jc w:val="center"/>
              <w:rPr>
                <w:rFonts w:ascii="宋体" w:hAnsi="宋体"/>
                <w:bCs/>
                <w:sz w:val="18"/>
                <w:szCs w:val="18"/>
              </w:rPr>
            </w:pPr>
            <w:r>
              <w:rPr>
                <w:rFonts w:hint="eastAsia" w:ascii="宋体" w:hAnsi="宋体"/>
                <w:bCs/>
                <w:sz w:val="18"/>
                <w:szCs w:val="18"/>
              </w:rPr>
              <w:t>派出人数</w:t>
            </w:r>
          </w:p>
          <w:p>
            <w:pPr>
              <w:jc w:val="center"/>
              <w:rPr>
                <w:rFonts w:ascii="宋体" w:hAnsi="宋体"/>
                <w:bCs/>
                <w:sz w:val="18"/>
                <w:szCs w:val="18"/>
              </w:rPr>
            </w:pPr>
          </w:p>
        </w:tc>
        <w:tc>
          <w:tcPr>
            <w:tcW w:w="1134" w:type="dxa"/>
            <w:tcBorders>
              <w:top w:val="single" w:color="auto" w:sz="8" w:space="0"/>
              <w:left w:val="nil"/>
              <w:bottom w:val="single" w:color="auto" w:sz="2" w:space="0"/>
              <w:right w:val="single" w:color="auto" w:sz="2" w:space="0"/>
            </w:tcBorders>
            <w:noWrap w:val="0"/>
            <w:vAlign w:val="center"/>
          </w:tcPr>
          <w:p>
            <w:pPr>
              <w:jc w:val="center"/>
              <w:rPr>
                <w:rFonts w:ascii="宋体" w:hAnsi="宋体"/>
                <w:bCs/>
                <w:sz w:val="18"/>
                <w:szCs w:val="18"/>
              </w:rPr>
            </w:pPr>
          </w:p>
        </w:tc>
        <w:tc>
          <w:tcPr>
            <w:tcW w:w="1146" w:type="dxa"/>
            <w:vMerge w:val="restart"/>
            <w:tcBorders>
              <w:top w:val="single" w:color="auto" w:sz="8" w:space="0"/>
              <w:left w:val="single" w:color="auto" w:sz="2" w:space="0"/>
              <w:bottom w:val="single" w:color="auto" w:sz="2" w:space="0"/>
              <w:right w:val="nil"/>
            </w:tcBorders>
            <w:noWrap w:val="0"/>
            <w:vAlign w:val="center"/>
          </w:tcPr>
          <w:p>
            <w:pPr>
              <w:jc w:val="center"/>
              <w:rPr>
                <w:rFonts w:ascii="宋体" w:hAnsi="宋体"/>
                <w:bCs/>
                <w:sz w:val="18"/>
                <w:szCs w:val="18"/>
              </w:rPr>
            </w:pPr>
            <w:r>
              <w:rPr>
                <w:rFonts w:hint="eastAsia" w:ascii="宋体" w:hAnsi="宋体"/>
                <w:bCs/>
                <w:sz w:val="18"/>
                <w:szCs w:val="18"/>
              </w:rPr>
              <w:t>月末在外</w:t>
            </w:r>
          </w:p>
          <w:p>
            <w:pPr>
              <w:jc w:val="center"/>
              <w:rPr>
                <w:rFonts w:ascii="宋体" w:hAnsi="宋体"/>
                <w:bCs/>
                <w:sz w:val="18"/>
                <w:szCs w:val="18"/>
              </w:rPr>
            </w:pPr>
            <w:r>
              <w:rPr>
                <w:rFonts w:hint="eastAsia" w:ascii="宋体" w:hAnsi="宋体"/>
                <w:bCs/>
                <w:sz w:val="18"/>
                <w:szCs w:val="18"/>
              </w:rPr>
              <w:t>人数</w:t>
            </w:r>
          </w:p>
        </w:tc>
        <w:tc>
          <w:tcPr>
            <w:tcW w:w="1345" w:type="dxa"/>
            <w:tcBorders>
              <w:top w:val="single" w:color="auto" w:sz="8" w:space="0"/>
              <w:left w:val="nil"/>
              <w:bottom w:val="single" w:color="auto" w:sz="2" w:space="0"/>
              <w:right w:val="nil"/>
            </w:tcBorders>
            <w:noWrap w:val="0"/>
            <w:vAlign w:val="center"/>
          </w:tcPr>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1809"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1458"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1530"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113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其中：女性</w:t>
            </w:r>
          </w:p>
        </w:tc>
        <w:tc>
          <w:tcPr>
            <w:tcW w:w="1146"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1345" w:type="dxa"/>
            <w:tcBorders>
              <w:top w:val="single" w:color="auto" w:sz="2" w:space="0"/>
              <w:left w:val="single" w:color="auto" w:sz="2" w:space="0"/>
              <w:bottom w:val="single" w:color="auto" w:sz="2" w:space="0"/>
              <w:right w:val="nil"/>
            </w:tcBorders>
            <w:noWrap w:val="0"/>
            <w:vAlign w:val="center"/>
          </w:tcPr>
          <w:p>
            <w:pPr>
              <w:jc w:val="left"/>
              <w:rPr>
                <w:rFonts w:ascii="宋体" w:hAnsi="宋体"/>
                <w:bCs/>
                <w:sz w:val="18"/>
                <w:szCs w:val="18"/>
              </w:rPr>
            </w:pPr>
            <w:r>
              <w:rPr>
                <w:rFonts w:hint="eastAsia" w:ascii="宋体" w:hAnsi="宋体"/>
                <w:bCs/>
                <w:sz w:val="18"/>
                <w:szCs w:val="18"/>
              </w:rPr>
              <w:t>其中：女性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1</w:t>
            </w:r>
          </w:p>
        </w:tc>
        <w:tc>
          <w:tcPr>
            <w:tcW w:w="1418"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2</w:t>
            </w:r>
          </w:p>
        </w:tc>
        <w:tc>
          <w:tcPr>
            <w:tcW w:w="1458"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3</w:t>
            </w:r>
          </w:p>
        </w:tc>
        <w:tc>
          <w:tcPr>
            <w:tcW w:w="1530"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4</w:t>
            </w:r>
          </w:p>
        </w:tc>
        <w:tc>
          <w:tcPr>
            <w:tcW w:w="1134"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5</w:t>
            </w:r>
          </w:p>
        </w:tc>
        <w:tc>
          <w:tcPr>
            <w:tcW w:w="1146"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6</w:t>
            </w:r>
          </w:p>
        </w:tc>
        <w:tc>
          <w:tcPr>
            <w:tcW w:w="1345"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8" w:space="0"/>
              <w:left w:val="nil"/>
              <w:bottom w:val="nil"/>
              <w:right w:val="nil"/>
            </w:tcBorders>
            <w:noWrap w:val="0"/>
            <w:vAlign w:val="top"/>
          </w:tcPr>
          <w:p>
            <w:pPr>
              <w:rPr>
                <w:rFonts w:ascii="宋体" w:hAnsi="宋体"/>
                <w:bCs/>
                <w:sz w:val="18"/>
                <w:szCs w:val="18"/>
              </w:rPr>
            </w:pPr>
          </w:p>
        </w:tc>
        <w:tc>
          <w:tcPr>
            <w:tcW w:w="1418" w:type="dxa"/>
            <w:tcBorders>
              <w:top w:val="single" w:color="auto" w:sz="8" w:space="0"/>
              <w:left w:val="nil"/>
              <w:bottom w:val="nil"/>
              <w:right w:val="nil"/>
            </w:tcBorders>
            <w:noWrap w:val="0"/>
            <w:vAlign w:val="top"/>
          </w:tcPr>
          <w:p>
            <w:pPr>
              <w:rPr>
                <w:rFonts w:ascii="宋体" w:hAnsi="宋体"/>
                <w:bCs/>
                <w:sz w:val="18"/>
                <w:szCs w:val="18"/>
              </w:rPr>
            </w:pPr>
          </w:p>
        </w:tc>
        <w:tc>
          <w:tcPr>
            <w:tcW w:w="1458" w:type="dxa"/>
            <w:tcBorders>
              <w:top w:val="single" w:color="auto" w:sz="8" w:space="0"/>
              <w:left w:val="nil"/>
              <w:bottom w:val="nil"/>
              <w:right w:val="nil"/>
            </w:tcBorders>
            <w:noWrap w:val="0"/>
            <w:vAlign w:val="top"/>
          </w:tcPr>
          <w:p>
            <w:pPr>
              <w:rPr>
                <w:rFonts w:ascii="宋体" w:hAnsi="宋体"/>
                <w:bCs/>
                <w:sz w:val="18"/>
                <w:szCs w:val="18"/>
              </w:rPr>
            </w:pPr>
          </w:p>
        </w:tc>
        <w:tc>
          <w:tcPr>
            <w:tcW w:w="1530" w:type="dxa"/>
            <w:tcBorders>
              <w:top w:val="single" w:color="auto" w:sz="8" w:space="0"/>
              <w:left w:val="nil"/>
              <w:bottom w:val="nil"/>
              <w:right w:val="nil"/>
            </w:tcBorders>
            <w:noWrap w:val="0"/>
            <w:vAlign w:val="top"/>
          </w:tcPr>
          <w:p>
            <w:pPr>
              <w:rPr>
                <w:rFonts w:ascii="宋体" w:hAnsi="宋体"/>
                <w:bCs/>
                <w:sz w:val="18"/>
                <w:szCs w:val="18"/>
              </w:rPr>
            </w:pPr>
          </w:p>
        </w:tc>
        <w:tc>
          <w:tcPr>
            <w:tcW w:w="1134" w:type="dxa"/>
            <w:tcBorders>
              <w:top w:val="single" w:color="auto" w:sz="8" w:space="0"/>
              <w:left w:val="nil"/>
              <w:bottom w:val="nil"/>
              <w:right w:val="nil"/>
            </w:tcBorders>
            <w:noWrap w:val="0"/>
            <w:vAlign w:val="top"/>
          </w:tcPr>
          <w:p>
            <w:pPr>
              <w:rPr>
                <w:rFonts w:ascii="宋体" w:hAnsi="宋体"/>
                <w:bCs/>
                <w:sz w:val="18"/>
                <w:szCs w:val="18"/>
              </w:rPr>
            </w:pPr>
          </w:p>
        </w:tc>
        <w:tc>
          <w:tcPr>
            <w:tcW w:w="1146" w:type="dxa"/>
            <w:tcBorders>
              <w:top w:val="single" w:color="auto" w:sz="8" w:space="0"/>
              <w:left w:val="nil"/>
              <w:bottom w:val="nil"/>
              <w:right w:val="nil"/>
            </w:tcBorders>
            <w:noWrap w:val="0"/>
            <w:vAlign w:val="top"/>
          </w:tcPr>
          <w:p>
            <w:pPr>
              <w:rPr>
                <w:rFonts w:ascii="宋体" w:hAnsi="宋体"/>
                <w:bCs/>
                <w:sz w:val="18"/>
                <w:szCs w:val="18"/>
              </w:rPr>
            </w:pPr>
          </w:p>
        </w:tc>
        <w:tc>
          <w:tcPr>
            <w:tcW w:w="1345" w:type="dxa"/>
            <w:tcBorders>
              <w:top w:val="single" w:color="auto" w:sz="8" w:space="0"/>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noWrap w:val="0"/>
            <w:vAlign w:val="top"/>
          </w:tcPr>
          <w:p>
            <w:pPr>
              <w:rPr>
                <w:rFonts w:ascii="宋体" w:hAnsi="宋体"/>
                <w:bCs/>
                <w:sz w:val="18"/>
                <w:szCs w:val="18"/>
              </w:rPr>
            </w:pPr>
          </w:p>
        </w:tc>
        <w:tc>
          <w:tcPr>
            <w:tcW w:w="1418" w:type="dxa"/>
            <w:tcBorders>
              <w:top w:val="nil"/>
              <w:left w:val="nil"/>
              <w:bottom w:val="nil"/>
              <w:right w:val="nil"/>
            </w:tcBorders>
            <w:noWrap w:val="0"/>
            <w:vAlign w:val="top"/>
          </w:tcPr>
          <w:p>
            <w:pPr>
              <w:rPr>
                <w:rFonts w:ascii="宋体" w:hAnsi="宋体"/>
                <w:bCs/>
                <w:sz w:val="18"/>
                <w:szCs w:val="18"/>
              </w:rPr>
            </w:pPr>
          </w:p>
        </w:tc>
        <w:tc>
          <w:tcPr>
            <w:tcW w:w="1458" w:type="dxa"/>
            <w:tcBorders>
              <w:top w:val="nil"/>
              <w:left w:val="nil"/>
              <w:bottom w:val="nil"/>
              <w:right w:val="nil"/>
            </w:tcBorders>
            <w:noWrap w:val="0"/>
            <w:vAlign w:val="top"/>
          </w:tcPr>
          <w:p>
            <w:pPr>
              <w:rPr>
                <w:rFonts w:ascii="宋体" w:hAnsi="宋体"/>
                <w:bCs/>
                <w:sz w:val="18"/>
                <w:szCs w:val="18"/>
              </w:rPr>
            </w:pPr>
          </w:p>
        </w:tc>
        <w:tc>
          <w:tcPr>
            <w:tcW w:w="153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1146" w:type="dxa"/>
            <w:tcBorders>
              <w:top w:val="nil"/>
              <w:left w:val="nil"/>
              <w:bottom w:val="nil"/>
              <w:right w:val="nil"/>
            </w:tcBorders>
            <w:noWrap w:val="0"/>
            <w:vAlign w:val="top"/>
          </w:tcPr>
          <w:p>
            <w:pPr>
              <w:rPr>
                <w:rFonts w:ascii="宋体" w:hAnsi="宋体"/>
                <w:bCs/>
                <w:sz w:val="18"/>
                <w:szCs w:val="18"/>
              </w:rPr>
            </w:pPr>
          </w:p>
        </w:tc>
        <w:tc>
          <w:tcPr>
            <w:tcW w:w="134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noWrap w:val="0"/>
            <w:vAlign w:val="top"/>
          </w:tcPr>
          <w:p>
            <w:pPr>
              <w:rPr>
                <w:rFonts w:ascii="宋体" w:hAnsi="宋体"/>
                <w:bCs/>
                <w:sz w:val="18"/>
                <w:szCs w:val="18"/>
              </w:rPr>
            </w:pPr>
          </w:p>
        </w:tc>
        <w:tc>
          <w:tcPr>
            <w:tcW w:w="1418" w:type="dxa"/>
            <w:tcBorders>
              <w:top w:val="nil"/>
              <w:left w:val="nil"/>
              <w:bottom w:val="nil"/>
              <w:right w:val="nil"/>
            </w:tcBorders>
            <w:noWrap w:val="0"/>
            <w:vAlign w:val="top"/>
          </w:tcPr>
          <w:p>
            <w:pPr>
              <w:rPr>
                <w:rFonts w:ascii="宋体" w:hAnsi="宋体"/>
                <w:bCs/>
                <w:sz w:val="18"/>
                <w:szCs w:val="18"/>
              </w:rPr>
            </w:pPr>
          </w:p>
        </w:tc>
        <w:tc>
          <w:tcPr>
            <w:tcW w:w="1458" w:type="dxa"/>
            <w:tcBorders>
              <w:top w:val="nil"/>
              <w:left w:val="nil"/>
              <w:bottom w:val="nil"/>
              <w:right w:val="nil"/>
            </w:tcBorders>
            <w:noWrap w:val="0"/>
            <w:vAlign w:val="top"/>
          </w:tcPr>
          <w:p>
            <w:pPr>
              <w:rPr>
                <w:rFonts w:ascii="宋体" w:hAnsi="宋体"/>
                <w:bCs/>
                <w:sz w:val="18"/>
                <w:szCs w:val="18"/>
              </w:rPr>
            </w:pPr>
          </w:p>
        </w:tc>
        <w:tc>
          <w:tcPr>
            <w:tcW w:w="153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1146" w:type="dxa"/>
            <w:tcBorders>
              <w:top w:val="nil"/>
              <w:left w:val="nil"/>
              <w:bottom w:val="nil"/>
              <w:right w:val="nil"/>
            </w:tcBorders>
            <w:noWrap w:val="0"/>
            <w:vAlign w:val="top"/>
          </w:tcPr>
          <w:p>
            <w:pPr>
              <w:rPr>
                <w:rFonts w:ascii="宋体" w:hAnsi="宋体"/>
                <w:bCs/>
                <w:sz w:val="18"/>
                <w:szCs w:val="18"/>
              </w:rPr>
            </w:pPr>
          </w:p>
        </w:tc>
        <w:tc>
          <w:tcPr>
            <w:tcW w:w="134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single" w:color="auto" w:sz="8" w:space="0"/>
              <w:right w:val="nil"/>
            </w:tcBorders>
            <w:noWrap w:val="0"/>
            <w:vAlign w:val="top"/>
          </w:tcPr>
          <w:p>
            <w:pPr>
              <w:rPr>
                <w:rFonts w:ascii="宋体" w:hAnsi="宋体"/>
                <w:bCs/>
                <w:sz w:val="18"/>
                <w:szCs w:val="18"/>
              </w:rPr>
            </w:pPr>
          </w:p>
        </w:tc>
        <w:tc>
          <w:tcPr>
            <w:tcW w:w="1418" w:type="dxa"/>
            <w:tcBorders>
              <w:top w:val="nil"/>
              <w:left w:val="nil"/>
              <w:bottom w:val="single" w:color="auto" w:sz="8" w:space="0"/>
              <w:right w:val="nil"/>
            </w:tcBorders>
            <w:noWrap w:val="0"/>
            <w:vAlign w:val="top"/>
          </w:tcPr>
          <w:p>
            <w:pPr>
              <w:rPr>
                <w:rFonts w:ascii="宋体" w:hAnsi="宋体"/>
                <w:bCs/>
                <w:sz w:val="18"/>
                <w:szCs w:val="18"/>
              </w:rPr>
            </w:pPr>
          </w:p>
        </w:tc>
        <w:tc>
          <w:tcPr>
            <w:tcW w:w="1458" w:type="dxa"/>
            <w:tcBorders>
              <w:top w:val="nil"/>
              <w:left w:val="nil"/>
              <w:bottom w:val="single" w:color="auto" w:sz="8" w:space="0"/>
              <w:right w:val="nil"/>
            </w:tcBorders>
            <w:noWrap w:val="0"/>
            <w:vAlign w:val="top"/>
          </w:tcPr>
          <w:p>
            <w:pPr>
              <w:rPr>
                <w:rFonts w:ascii="宋体" w:hAnsi="宋体"/>
                <w:bCs/>
                <w:sz w:val="18"/>
                <w:szCs w:val="18"/>
              </w:rPr>
            </w:pPr>
          </w:p>
        </w:tc>
        <w:tc>
          <w:tcPr>
            <w:tcW w:w="1530" w:type="dxa"/>
            <w:tcBorders>
              <w:top w:val="nil"/>
              <w:left w:val="nil"/>
              <w:bottom w:val="single" w:color="auto" w:sz="8" w:space="0"/>
              <w:right w:val="nil"/>
            </w:tcBorders>
            <w:noWrap w:val="0"/>
            <w:vAlign w:val="top"/>
          </w:tcPr>
          <w:p>
            <w:pPr>
              <w:rPr>
                <w:rFonts w:ascii="宋体" w:hAnsi="宋体"/>
                <w:bCs/>
                <w:sz w:val="18"/>
                <w:szCs w:val="18"/>
              </w:rPr>
            </w:pPr>
          </w:p>
        </w:tc>
        <w:tc>
          <w:tcPr>
            <w:tcW w:w="1134" w:type="dxa"/>
            <w:tcBorders>
              <w:top w:val="nil"/>
              <w:left w:val="nil"/>
              <w:bottom w:val="single" w:color="auto" w:sz="8" w:space="0"/>
              <w:right w:val="nil"/>
            </w:tcBorders>
            <w:noWrap w:val="0"/>
            <w:vAlign w:val="top"/>
          </w:tcPr>
          <w:p>
            <w:pPr>
              <w:rPr>
                <w:rFonts w:ascii="宋体" w:hAnsi="宋体"/>
                <w:bCs/>
                <w:sz w:val="18"/>
                <w:szCs w:val="18"/>
              </w:rPr>
            </w:pPr>
          </w:p>
        </w:tc>
        <w:tc>
          <w:tcPr>
            <w:tcW w:w="1146" w:type="dxa"/>
            <w:tcBorders>
              <w:top w:val="nil"/>
              <w:left w:val="nil"/>
              <w:bottom w:val="single" w:color="auto" w:sz="8" w:space="0"/>
              <w:right w:val="nil"/>
            </w:tcBorders>
            <w:noWrap w:val="0"/>
            <w:vAlign w:val="top"/>
          </w:tcPr>
          <w:p>
            <w:pPr>
              <w:rPr>
                <w:rFonts w:ascii="宋体" w:hAnsi="宋体"/>
                <w:bCs/>
                <w:sz w:val="18"/>
                <w:szCs w:val="18"/>
              </w:rPr>
            </w:pPr>
          </w:p>
        </w:tc>
        <w:tc>
          <w:tcPr>
            <w:tcW w:w="1345" w:type="dxa"/>
            <w:tcBorders>
              <w:top w:val="nil"/>
              <w:left w:val="nil"/>
              <w:bottom w:val="single" w:color="auto" w:sz="8" w:space="0"/>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单位负责人：         统计负责人：         制表人：        联系电话：      报出日期：２０  年  月   日</w:t>
      </w:r>
    </w:p>
    <w:p>
      <w:pPr>
        <w:rPr>
          <w:rFonts w:ascii="宋体" w:hAnsi="宋体"/>
          <w:bCs/>
          <w:sz w:val="18"/>
          <w:szCs w:val="18"/>
        </w:rPr>
      </w:pPr>
    </w:p>
    <w:p>
      <w:pPr>
        <w:rPr>
          <w:rFonts w:ascii="宋体" w:hAnsi="宋体"/>
          <w:bCs/>
          <w:sz w:val="18"/>
          <w:szCs w:val="18"/>
        </w:rPr>
      </w:pPr>
      <w:r>
        <w:rPr>
          <w:rFonts w:hint="eastAsia" w:ascii="宋体" w:hAnsi="宋体"/>
          <w:bCs/>
          <w:sz w:val="18"/>
          <w:szCs w:val="18"/>
        </w:rPr>
        <w:t>说明：1、本表综合反映报告月份企业开展对外劳务合作业务项目的基本情况。</w:t>
      </w:r>
    </w:p>
    <w:p>
      <w:pPr>
        <w:rPr>
          <w:rFonts w:ascii="宋体" w:hAnsi="宋体"/>
          <w:bCs/>
          <w:sz w:val="18"/>
          <w:szCs w:val="18"/>
        </w:rPr>
      </w:pPr>
      <w:r>
        <w:rPr>
          <w:rFonts w:hint="eastAsia" w:ascii="宋体" w:hAnsi="宋体"/>
          <w:bCs/>
          <w:sz w:val="18"/>
          <w:szCs w:val="18"/>
        </w:rPr>
        <w:t xml:space="preserve">      2、本表由企业于月10日内通过网络传输报送。   </w:t>
      </w:r>
    </w:p>
    <w:p>
      <w:pPr>
        <w:rPr>
          <w:rFonts w:ascii="宋体" w:hAnsi="宋体"/>
          <w:bCs/>
          <w:sz w:val="18"/>
          <w:szCs w:val="18"/>
        </w:rPr>
      </w:pPr>
      <w:r>
        <w:rPr>
          <w:rFonts w:hint="eastAsia" w:ascii="宋体" w:hAnsi="宋体"/>
          <w:bCs/>
          <w:sz w:val="18"/>
          <w:szCs w:val="18"/>
        </w:rPr>
        <w:t xml:space="preserve">      3、新签劳务人员工资额、劳务人员实际收入总额以“万美元</w:t>
      </w:r>
      <w:r>
        <w:rPr>
          <w:rFonts w:ascii="宋体" w:hAnsi="宋体"/>
          <w:bCs/>
          <w:sz w:val="18"/>
          <w:szCs w:val="18"/>
        </w:rPr>
        <w:t>”</w:t>
      </w:r>
      <w:r>
        <w:rPr>
          <w:rFonts w:hint="eastAsia" w:ascii="宋体" w:hAnsi="宋体"/>
          <w:bCs/>
          <w:sz w:val="18"/>
          <w:szCs w:val="18"/>
        </w:rPr>
        <w:t>作为统计单位；劳务人员实际月平均工资以“美元</w:t>
      </w:r>
      <w:r>
        <w:rPr>
          <w:rFonts w:ascii="宋体" w:hAnsi="宋体"/>
          <w:bCs/>
          <w:sz w:val="18"/>
          <w:szCs w:val="18"/>
        </w:rPr>
        <w:t>”</w:t>
      </w:r>
      <w:r>
        <w:rPr>
          <w:rFonts w:hint="eastAsia" w:ascii="宋体" w:hAnsi="宋体"/>
          <w:bCs/>
          <w:sz w:val="18"/>
          <w:szCs w:val="18"/>
        </w:rPr>
        <w:t>作为统计单位。</w:t>
      </w:r>
    </w:p>
    <w:p/>
    <w:p/>
    <w:p/>
    <w:p/>
    <w:p>
      <w:pPr>
        <w:jc w:val="center"/>
        <w:rPr>
          <w:rFonts w:ascii="黑体" w:eastAsia="黑体"/>
          <w:sz w:val="32"/>
          <w:szCs w:val="32"/>
        </w:rPr>
      </w:pPr>
      <w:r>
        <w:br w:type="page"/>
      </w:r>
      <w:r>
        <w:rPr>
          <w:rFonts w:hint="eastAsia" w:ascii="黑体" w:eastAsia="黑体"/>
          <w:sz w:val="32"/>
          <w:szCs w:val="32"/>
        </w:rPr>
        <w:t>四、主要指标解释</w:t>
      </w:r>
    </w:p>
    <w:p>
      <w:pPr>
        <w:widowControl/>
        <w:spacing w:before="100" w:after="100" w:line="400" w:lineRule="exact"/>
        <w:ind w:firstLine="422" w:firstLineChars="200"/>
        <w:jc w:val="left"/>
        <w:rPr>
          <w:rFonts w:ascii="宋体" w:hAnsi="宋体" w:cs="宋体"/>
          <w:bCs/>
          <w:color w:val="000000"/>
          <w:szCs w:val="21"/>
        </w:rPr>
      </w:pPr>
      <w:r>
        <w:rPr>
          <w:rFonts w:hint="eastAsia" w:ascii="宋体" w:hAnsi="宋体" w:cs="宋体"/>
          <w:b/>
          <w:kern w:val="0"/>
          <w:szCs w:val="21"/>
        </w:rPr>
        <w:t>1、</w:t>
      </w:r>
      <w:r>
        <w:rPr>
          <w:rFonts w:hint="eastAsia" w:ascii="宋体" w:hAnsi="宋体" w:cs="宋体"/>
          <w:b/>
          <w:bCs/>
          <w:kern w:val="0"/>
          <w:szCs w:val="21"/>
        </w:rPr>
        <w:t xml:space="preserve"> </w:t>
      </w:r>
      <w:r>
        <w:rPr>
          <w:rFonts w:hint="eastAsia" w:ascii="宋体" w:hAnsi="宋体" w:cs="宋体"/>
          <w:b/>
          <w:kern w:val="0"/>
          <w:szCs w:val="21"/>
        </w:rPr>
        <w:t xml:space="preserve">对外劳务合作的统计界定 </w:t>
      </w:r>
      <w:r>
        <w:rPr>
          <w:rFonts w:hint="eastAsia" w:ascii="宋体" w:hAnsi="宋体" w:cs="宋体"/>
          <w:kern w:val="0"/>
          <w:szCs w:val="21"/>
        </w:rPr>
        <w:t>：对外劳务合作</w:t>
      </w:r>
      <w:r>
        <w:rPr>
          <w:rFonts w:hint="eastAsia" w:ascii="宋体" w:hAnsi="宋体" w:cs="宋体"/>
          <w:bCs/>
          <w:kern w:val="0"/>
          <w:szCs w:val="21"/>
        </w:rPr>
        <w:t>指组织劳务人员赴其他国家或地区为国外的企业或机构工作的经营性活动。 对外劳务合作人员行业一级分类执行国民经济经济行业分类和代码（</w:t>
      </w:r>
      <w:r>
        <w:rPr>
          <w:rFonts w:hint="eastAsia" w:ascii="宋体" w:hAnsi="宋体" w:cs="宋体"/>
          <w:bCs/>
          <w:color w:val="000000"/>
          <w:szCs w:val="21"/>
        </w:rPr>
        <w:t>GB/T 4754-2017)，二级细类根据业务情况划分。</w:t>
      </w:r>
    </w:p>
    <w:p>
      <w:pPr>
        <w:adjustRightInd w:val="0"/>
        <w:snapToGrid w:val="0"/>
        <w:spacing w:before="100" w:after="100" w:line="400" w:lineRule="exact"/>
        <w:ind w:right="-40" w:rightChars="-19" w:firstLine="417" w:firstLineChars="198"/>
        <w:jc w:val="left"/>
        <w:rPr>
          <w:rFonts w:ascii="宋体" w:hAnsi="宋体" w:cs="宋体"/>
          <w:bCs/>
          <w:color w:val="000000"/>
          <w:szCs w:val="21"/>
        </w:rPr>
      </w:pPr>
      <w:r>
        <w:rPr>
          <w:rFonts w:hint="eastAsia" w:ascii="宋体" w:hAnsi="宋体" w:cs="宋体"/>
          <w:b/>
          <w:kern w:val="0"/>
          <w:szCs w:val="21"/>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3、外方签约单位</w:t>
      </w:r>
      <w:r>
        <w:rPr>
          <w:rFonts w:hint="eastAsia" w:ascii="宋体" w:hAnsi="宋体" w:cs="宋体"/>
          <w:bCs/>
          <w:kern w:val="0"/>
          <w:szCs w:val="21"/>
        </w:rPr>
        <w:t>：指与企业签订对外劳务合作合同的国（境）外企业名称，外方签约单位若是中资企业，需在统计系统中明确中资企业的境内投资者名称。</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4、雇主名称</w:t>
      </w:r>
      <w:r>
        <w:rPr>
          <w:rFonts w:hint="eastAsia" w:ascii="宋体" w:hAnsi="宋体" w:cs="宋体"/>
          <w:kern w:val="0"/>
          <w:szCs w:val="21"/>
        </w:rPr>
        <w:t>：</w:t>
      </w:r>
      <w:r>
        <w:rPr>
          <w:rFonts w:hint="eastAsia" w:ascii="宋体" w:hAnsi="宋体" w:cs="宋体"/>
          <w:bCs/>
          <w:kern w:val="0"/>
          <w:szCs w:val="21"/>
        </w:rPr>
        <w:t>指劳务人员工作的最终雇主。</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5、签约日期</w:t>
      </w:r>
      <w:r>
        <w:rPr>
          <w:rFonts w:hint="eastAsia" w:ascii="宋体" w:hAnsi="宋体" w:cs="宋体"/>
          <w:bCs/>
          <w:kern w:val="0"/>
          <w:szCs w:val="21"/>
        </w:rPr>
        <w:t>：指企业与国（境）外雇主签订合同的日期。</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6、派出人数</w:t>
      </w:r>
      <w:r>
        <w:rPr>
          <w:rFonts w:hint="eastAsia" w:ascii="宋体" w:hAnsi="宋体" w:cs="宋体"/>
          <w:bCs/>
          <w:kern w:val="0"/>
          <w:szCs w:val="21"/>
        </w:rPr>
        <w:t xml:space="preserve">：指企业在报告期内派往国（境）外执行对外劳务合作项目的人数。 </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7、月末在外人数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指报告期末企业在国（境）外执行对外劳务合作项目的人数。 </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8、新签对外劳务人员合同工资总额</w:t>
      </w:r>
      <w:r>
        <w:rPr>
          <w:rFonts w:hint="eastAsia" w:ascii="宋体" w:hAnsi="宋体" w:cs="宋体"/>
          <w:kern w:val="0"/>
          <w:szCs w:val="21"/>
        </w:rPr>
        <w:t>：</w:t>
      </w:r>
      <w:r>
        <w:rPr>
          <w:rFonts w:hint="eastAsia" w:ascii="宋体" w:hAnsi="宋体" w:cs="宋体"/>
          <w:bCs/>
          <w:kern w:val="0"/>
          <w:szCs w:val="21"/>
        </w:rPr>
        <w:t>指企业与外方签约单位或雇主订立书面合同文本中所规定的对外劳务人员工资总额。</w:t>
      </w:r>
    </w:p>
    <w:p>
      <w:pPr>
        <w:widowControl/>
        <w:adjustRightInd w:val="0"/>
        <w:snapToGrid w:val="0"/>
        <w:spacing w:before="100" w:after="100" w:line="400" w:lineRule="exact"/>
        <w:ind w:firstLine="180"/>
        <w:jc w:val="left"/>
        <w:rPr>
          <w:rFonts w:ascii="宋体" w:hAnsi="宋体" w:cs="宋体"/>
          <w:szCs w:val="21"/>
        </w:rPr>
      </w:pPr>
      <w:r>
        <w:rPr>
          <w:rFonts w:hint="eastAsia" w:ascii="宋体" w:hAnsi="宋体" w:cs="宋体"/>
          <w:bCs/>
          <w:szCs w:val="21"/>
        </w:rPr>
        <w:t xml:space="preserve">  </w:t>
      </w:r>
      <w:r>
        <w:rPr>
          <w:rFonts w:hint="eastAsia" w:ascii="宋体" w:hAnsi="宋体" w:cs="宋体"/>
          <w:szCs w:val="21"/>
        </w:rPr>
        <w:t>派往日本的研修生，其新签</w:t>
      </w:r>
      <w:r>
        <w:rPr>
          <w:rFonts w:hint="eastAsia" w:ascii="宋体" w:hAnsi="宋体" w:cs="宋体"/>
          <w:kern w:val="0"/>
          <w:szCs w:val="21"/>
        </w:rPr>
        <w:t>合同工资总额</w:t>
      </w:r>
      <w:r>
        <w:rPr>
          <w:rFonts w:hint="eastAsia" w:ascii="宋体" w:hAnsi="宋体" w:cs="宋体"/>
          <w:szCs w:val="21"/>
        </w:rPr>
        <w:t>按日本国劳动基准法规定的本国人均月生活水准金额乘以合同月数乘以人数计算。</w:t>
      </w:r>
    </w:p>
    <w:p>
      <w:pPr>
        <w:widowControl/>
        <w:adjustRightInd w:val="0"/>
        <w:snapToGrid w:val="0"/>
        <w:spacing w:before="100" w:after="100" w:line="400" w:lineRule="exact"/>
        <w:ind w:firstLine="420" w:firstLineChars="200"/>
        <w:jc w:val="left"/>
        <w:rPr>
          <w:rFonts w:ascii="宋体" w:hAnsi="宋体" w:cs="宋体"/>
          <w:kern w:val="0"/>
          <w:szCs w:val="21"/>
        </w:rPr>
      </w:pPr>
      <w:r>
        <w:rPr>
          <w:rFonts w:hint="eastAsia" w:ascii="宋体" w:hAnsi="宋体" w:cs="宋体"/>
          <w:kern w:val="0"/>
          <w:szCs w:val="21"/>
        </w:rPr>
        <w:t>新签合同工资总额</w:t>
      </w:r>
      <w:r>
        <w:rPr>
          <w:rFonts w:hint="eastAsia" w:ascii="宋体" w:hAnsi="宋体" w:cs="宋体"/>
          <w:bCs/>
          <w:kern w:val="0"/>
          <w:szCs w:val="21"/>
        </w:rPr>
        <w:t>以美元作为计算单位。以非美元计价的，若合同规定了对美元折算率，其</w:t>
      </w:r>
      <w:r>
        <w:rPr>
          <w:rFonts w:hint="eastAsia" w:ascii="宋体" w:hAnsi="宋体" w:cs="宋体"/>
          <w:kern w:val="0"/>
          <w:szCs w:val="21"/>
        </w:rPr>
        <w:t>新签合同工资总额</w:t>
      </w:r>
      <w:r>
        <w:rPr>
          <w:rFonts w:hint="eastAsia" w:ascii="宋体" w:hAnsi="宋体" w:cs="宋体"/>
          <w:bCs/>
          <w:kern w:val="0"/>
          <w:szCs w:val="21"/>
        </w:rPr>
        <w:t xml:space="preserve">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after="100" w:line="400" w:lineRule="exact"/>
        <w:ind w:firstLine="420" w:firstLineChars="200"/>
        <w:jc w:val="left"/>
        <w:rPr>
          <w:rFonts w:ascii="宋体" w:hAnsi="宋体" w:cs="宋体"/>
          <w:bCs/>
          <w:kern w:val="0"/>
          <w:szCs w:val="21"/>
        </w:rPr>
      </w:pPr>
      <w:r>
        <w:rPr>
          <w:rFonts w:hint="eastAsia" w:ascii="宋体" w:hAnsi="宋体" w:cs="宋体"/>
          <w:kern w:val="0"/>
          <w:szCs w:val="21"/>
        </w:rPr>
        <w:t>新签合同工资总额</w:t>
      </w:r>
      <w:r>
        <w:rPr>
          <w:rFonts w:hint="eastAsia" w:ascii="宋体" w:hAnsi="宋体" w:cs="宋体"/>
          <w:bCs/>
          <w:kern w:val="0"/>
          <w:szCs w:val="21"/>
        </w:rPr>
        <w:t>发生变更，应根据业务部门的变更通知，在本年度下一报告期调整，并加以说明。以往年度的合同发生变更，在本年度和历史统计资料中均不予调整。</w:t>
      </w:r>
    </w:p>
    <w:p>
      <w:pPr>
        <w:spacing w:before="100" w:after="100" w:line="400" w:lineRule="exact"/>
        <w:ind w:firstLine="422" w:firstLineChars="200"/>
        <w:rPr>
          <w:rFonts w:ascii="宋体" w:hAnsi="宋体" w:cs="宋体"/>
          <w:bCs/>
          <w:kern w:val="0"/>
          <w:szCs w:val="21"/>
        </w:rPr>
      </w:pPr>
      <w:r>
        <w:rPr>
          <w:rFonts w:hint="eastAsia" w:ascii="宋体" w:hAnsi="宋体" w:cs="宋体"/>
          <w:b/>
          <w:szCs w:val="21"/>
        </w:rPr>
        <w:t>9、对外</w:t>
      </w:r>
      <w:r>
        <w:rPr>
          <w:rFonts w:hint="eastAsia" w:ascii="宋体" w:hAnsi="宋体" w:cs="宋体"/>
          <w:b/>
          <w:bCs/>
          <w:szCs w:val="21"/>
        </w:rPr>
        <w:t>劳务人员实际收入总额：</w:t>
      </w:r>
      <w:r>
        <w:rPr>
          <w:rFonts w:hint="eastAsia" w:ascii="宋体" w:hAnsi="宋体" w:cs="宋体"/>
          <w:bCs/>
          <w:szCs w:val="21"/>
        </w:rPr>
        <w:t>指（1）报告期</w:t>
      </w:r>
      <w:r>
        <w:rPr>
          <w:rFonts w:hint="eastAsia" w:ascii="宋体" w:hAnsi="宋体" w:cs="宋体"/>
          <w:bCs/>
          <w:kern w:val="0"/>
          <w:szCs w:val="21"/>
        </w:rPr>
        <w:t>根据合同规定的对外劳务人员工资标准含工资、奖金、津贴等计算的在外劳务人员应获取的全部劳动报酬总额。（2）境外签约单位或雇主直接向劳务人员支付的工资、加班费、津贴和奖金等的各种收入的总额。该指标以美元计算。</w:t>
      </w:r>
    </w:p>
    <w:p>
      <w:pPr>
        <w:spacing w:line="400" w:lineRule="exact"/>
        <w:ind w:firstLine="422" w:firstLineChars="200"/>
        <w:rPr>
          <w:rFonts w:ascii="宋体" w:hAnsi="宋体" w:cs="宋体"/>
          <w:bCs/>
          <w:szCs w:val="21"/>
        </w:rPr>
      </w:pPr>
      <w:r>
        <w:rPr>
          <w:rFonts w:hint="eastAsia" w:ascii="宋体" w:hAnsi="宋体" w:cs="宋体"/>
          <w:b/>
          <w:bCs/>
          <w:kern w:val="0"/>
          <w:szCs w:val="21"/>
        </w:rPr>
        <w:t>10、</w:t>
      </w:r>
      <w:r>
        <w:rPr>
          <w:rFonts w:hint="eastAsia" w:ascii="宋体" w:hAnsi="宋体" w:cs="宋体"/>
          <w:b/>
          <w:bCs/>
          <w:szCs w:val="21"/>
        </w:rPr>
        <w:t>劳务人员实际月平均工资</w:t>
      </w:r>
      <w:r>
        <w:rPr>
          <w:rFonts w:hint="eastAsia" w:ascii="宋体" w:hAnsi="宋体" w:cs="宋体"/>
          <w:bCs/>
          <w:szCs w:val="21"/>
        </w:rPr>
        <w:t>：指报告月度劳务人员平均每人所得的货币工资额。月平均工资等于报告月度雇主实际支付的全部劳务人员工资总额除以报告月份劳务人员平均人数。</w:t>
      </w:r>
    </w:p>
    <w:p>
      <w:pPr>
        <w:widowControl/>
        <w:adjustRightInd w:val="0"/>
        <w:snapToGrid w:val="0"/>
        <w:spacing w:before="100" w:after="100" w:line="400" w:lineRule="exact"/>
        <w:ind w:firstLine="422" w:firstLineChars="200"/>
        <w:jc w:val="left"/>
        <w:rPr>
          <w:rFonts w:ascii="宋体" w:hAnsi="宋体" w:cs="宋体"/>
          <w:kern w:val="0"/>
          <w:szCs w:val="21"/>
        </w:rPr>
      </w:pPr>
      <w:r>
        <w:rPr>
          <w:rFonts w:hint="eastAsia" w:ascii="宋体" w:hAnsi="宋体" w:cs="宋体"/>
          <w:b/>
          <w:kern w:val="0"/>
          <w:szCs w:val="21"/>
        </w:rPr>
        <w:t>11、企业性质：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p>
    <w:p>
      <w:pPr>
        <w:jc w:val="center"/>
        <w:rPr>
          <w:rFonts w:ascii="黑体" w:eastAsia="黑体"/>
          <w:sz w:val="32"/>
          <w:szCs w:val="32"/>
        </w:rPr>
      </w:pPr>
      <w:r>
        <w:rPr>
          <w:rFonts w:hint="eastAsia" w:ascii="黑体" w:eastAsia="黑体"/>
          <w:sz w:val="32"/>
          <w:szCs w:val="32"/>
        </w:rPr>
        <w:t>五、附 录</w:t>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（一）关于统计上对公有和非公有控股经济的分类办法</w:t>
      </w:r>
    </w:p>
    <w:p>
      <w:pPr>
        <w:widowControl/>
        <w:spacing w:line="400" w:lineRule="exact"/>
        <w:ind w:firstLine="452" w:firstLineChars="200"/>
        <w:jc w:val="center"/>
        <w:rPr>
          <w:rFonts w:ascii="宋体" w:hAnsi="宋体" w:cs="宋体"/>
          <w:color w:val="000000"/>
          <w:spacing w:val="8"/>
          <w:kern w:val="0"/>
          <w:szCs w:val="21"/>
        </w:rPr>
      </w:pPr>
      <w:r>
        <w:rPr>
          <w:rFonts w:hint="eastAsia" w:ascii="宋体" w:hAnsi="宋体" w:cs="宋体"/>
          <w:color w:val="000000"/>
          <w:spacing w:val="8"/>
          <w:kern w:val="0"/>
          <w:szCs w:val="21"/>
        </w:rPr>
        <w:t>（2005年8月18日国家统计局发布）</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第一条  为了全面反映我国公有经济和非公有经济的控股情况，完善1998年国家统计局关于控股情况的有关规定，制定本办法。</w:t>
      </w:r>
    </w:p>
    <w:p>
      <w:pPr>
        <w:widowControl/>
        <w:spacing w:line="380" w:lineRule="exact"/>
        <w:ind w:firstLine="447" w:firstLineChars="198"/>
        <w:jc w:val="left"/>
        <w:rPr>
          <w:rFonts w:ascii="宋体" w:hAnsi="宋体" w:cs="宋体"/>
          <w:color w:val="000000"/>
          <w:spacing w:val="8"/>
          <w:kern w:val="0"/>
          <w:szCs w:val="21"/>
        </w:rPr>
      </w:pPr>
      <w:r>
        <w:rPr>
          <w:rFonts w:hint="eastAsia" w:ascii="宋体" w:hAnsi="宋体" w:cs="宋体"/>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pPr>
        <w:widowControl/>
        <w:spacing w:line="380" w:lineRule="exact"/>
        <w:ind w:firstLine="447" w:firstLineChars="198"/>
        <w:jc w:val="left"/>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widowControl/>
        <w:spacing w:line="380" w:lineRule="exact"/>
        <w:ind w:right="34" w:firstLine="454" w:firstLineChars="200"/>
        <w:jc w:val="left"/>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widowControl/>
        <w:spacing w:line="38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widowControl/>
        <w:spacing w:line="380" w:lineRule="exact"/>
        <w:ind w:right="34" w:firstLine="454" w:firstLineChars="200"/>
        <w:jc w:val="left"/>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widowControl/>
        <w:spacing w:line="38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widowControl/>
        <w:spacing w:line="380" w:lineRule="exact"/>
        <w:ind w:right="34" w:firstLine="452" w:firstLineChars="200"/>
        <w:jc w:val="left"/>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widowControl/>
        <w:spacing w:line="38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widowControl/>
        <w:tabs>
          <w:tab w:val="left" w:pos="0"/>
        </w:tabs>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center"/>
        <w:rPr>
          <w:rFonts w:ascii="宋体" w:hAnsi="宋体" w:cs="宋体"/>
          <w:b/>
          <w:color w:val="000000"/>
          <w:spacing w:val="8"/>
          <w:kern w:val="0"/>
          <w:sz w:val="32"/>
          <w:szCs w:val="32"/>
        </w:rPr>
      </w:pP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（二）向国家统计局提供的统计资料清单</w:t>
      </w:r>
    </w:p>
    <w:p>
      <w:pPr>
        <w:widowControl/>
        <w:spacing w:line="600" w:lineRule="exact"/>
        <w:jc w:val="left"/>
        <w:rPr>
          <w:rFonts w:ascii="宋体" w:hAnsi="宋体" w:cs="宋体"/>
          <w:color w:val="000000"/>
          <w:spacing w:val="8"/>
          <w:kern w:val="0"/>
          <w:szCs w:val="21"/>
        </w:rPr>
      </w:pP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spacing w:line="400" w:lineRule="exact"/>
      </w:pP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（三）向统计信息共享数据库提供的统计资料清单</w:t>
      </w:r>
    </w:p>
    <w:p>
      <w:pPr>
        <w:widowControl/>
        <w:spacing w:line="600" w:lineRule="exact"/>
        <w:jc w:val="left"/>
        <w:rPr>
          <w:rFonts w:ascii="宋体" w:hAnsi="宋体" w:cs="宋体"/>
          <w:color w:val="000000"/>
          <w:spacing w:val="8"/>
          <w:kern w:val="0"/>
          <w:szCs w:val="21"/>
        </w:rPr>
      </w:pP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spacing w:line="400" w:lineRule="exact"/>
      </w:pPr>
    </w:p>
    <w:p>
      <w:pPr>
        <w:widowControl/>
        <w:spacing w:line="400" w:lineRule="exact"/>
        <w:jc w:val="left"/>
        <w:rPr>
          <w:rFonts w:ascii="宋体" w:hAnsi="宋体" w:cs="宋体"/>
          <w:color w:val="000000"/>
          <w:spacing w:val="8"/>
          <w:kern w:val="0"/>
          <w:szCs w:val="21"/>
        </w:rPr>
      </w:pPr>
    </w:p>
    <w:p>
      <w:pPr>
        <w:spacing w:line="400" w:lineRule="exact"/>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right="640"/>
        <w:rPr>
          <w:rFonts w:ascii="仿宋_GB2312" w:eastAsia="仿宋_GB2312"/>
          <w:sz w:val="32"/>
          <w:szCs w:val="32"/>
        </w:rPr>
      </w:pPr>
    </w:p>
    <w:p/>
    <w:p/>
    <w:sectPr>
      <w:pgSz w:w="11906" w:h="16838"/>
      <w:pgMar w:top="1327" w:right="1286" w:bottom="1259" w:left="12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SC">
    <w:altName w:val="宋体"/>
    <w:panose1 w:val="020B0600000000000000"/>
    <w:charset w:val="86"/>
    <w:family w:val="auto"/>
    <w:pitch w:val="default"/>
    <w:sig w:usb0="00000000" w:usb1="00000000" w:usb2="00000016" w:usb3="00000000" w:csb0="602E0107"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rPr>
                              <w:rFonts w:hint="eastAsia"/>
                            </w:rPr>
                            <w:t>- -</w:t>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8240;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rIQKNUAAAAHAQAADwAAAAAA&#10;AAABACAAAAAiAAAAZHJzL2Rvd25yZXYueG1sUEsBAhQAFAAAAAgAh07iQE+Jr7wWAgAAFQQAAA4A&#10;AAAAAAAAAQAgAAAAJAEAAGRycy9lMm9Eb2MueG1sUEsFBgAAAAAGAAYAWQEAAKwFAAAAAA==&#10;">
              <v:path/>
              <v:fill on="f" focussize="0,0"/>
              <v:stroke on="f" weight="0.5pt"/>
              <v:imagedata o:title=""/>
              <o:lock v:ext="edit" aspectratio="f"/>
              <v:textbox inset="0mm,0mm,0mm,0mm" style="mso-fit-shape-to-text:t;">
                <w:txbxContent>
                  <w:p>
                    <w:pPr>
                      <w:pStyle w:val="4"/>
                      <w:jc w:val="center"/>
                    </w:pPr>
                    <w:r>
                      <w:rPr>
                        <w:rFonts w:hint="eastAsia"/>
                      </w:rPr>
                      <w:t>- -</w:t>
                    </w:r>
                  </w:p>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rIQKNUAAAAHAQAADwAAAAAA&#10;AAABACAAAAAiAAAAZHJzL2Rvd25yZXYueG1sUEsBAhQAFAAAAAgAh07iQBDkVuwWAgAAFQQAAA4A&#10;AAAAAAAAAQAgAAAAJAEAAGRycy9lMm9Eb2MueG1sUEsFBgAAAAAGAAYAWQEAAKwFAAAAAA==&#10;">
              <v:path/>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rPr>
                              <w:rFonts w:hint="eastAsia"/>
                            </w:rPr>
                            <w:t xml:space="preserve">- </w:t>
                          </w:r>
                          <w:r>
                            <w:fldChar w:fldCharType="begin"/>
                          </w:r>
                          <w:r>
                            <w:instrText xml:space="preserve">PAGE   \* MERGEFORMAT</w:instrText>
                          </w:r>
                          <w:r>
                            <w:fldChar w:fldCharType="separate"/>
                          </w:r>
                          <w:r>
                            <w:rPr>
                              <w:lang w:val="zh-CN"/>
                            </w:rPr>
                            <w:t>-</w:t>
                          </w:r>
                          <w:r>
                            <w:t xml:space="preserve"> 25 -</w:t>
                          </w:r>
                          <w:r>
                            <w:fldChar w:fldCharType="end"/>
                          </w:r>
                          <w:r>
                            <w:rPr>
                              <w:rFonts w:hint="eastAsia"/>
                            </w:rPr>
                            <w:t xml:space="preserve"> -</w:t>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ayECjVAAAABwEAAA8AAAAAAAAA&#10;AQAgAAAAIgAAAGRycy9kb3ducmV2LnhtbFBLAQIUABQAAAAIAIdO4kB0FVBdFAIAABUEAAAOAAAA&#10;AAAAAAEAIAAAACQBAABkcnMvZTJvRG9jLnhtbFBLBQYAAAAABgAGAFkBAACqBQAAAAA=&#10;">
              <v:path/>
              <v:fill on="f" focussize="0,0"/>
              <v:stroke on="f" weight="0.5pt"/>
              <v:imagedata o:title=""/>
              <o:lock v:ext="edit" aspectratio="f"/>
              <v:textbox inset="0mm,0mm,0mm,0mm" style="mso-fit-shape-to-text:t;">
                <w:txbxContent>
                  <w:p>
                    <w:pPr>
                      <w:pStyle w:val="4"/>
                      <w:jc w:val="center"/>
                    </w:pPr>
                    <w:r>
                      <w:rPr>
                        <w:rFonts w:hint="eastAsia"/>
                      </w:rPr>
                      <w:t xml:space="preserve">- </w:t>
                    </w:r>
                    <w:r>
                      <w:fldChar w:fldCharType="begin"/>
                    </w:r>
                    <w:r>
                      <w:instrText xml:space="preserve">PAGE   \* MERGEFORMAT</w:instrText>
                    </w:r>
                    <w:r>
                      <w:fldChar w:fldCharType="separate"/>
                    </w:r>
                    <w:r>
                      <w:rPr>
                        <w:lang w:val="zh-CN"/>
                      </w:rPr>
                      <w:t>-</w:t>
                    </w:r>
                    <w:r>
                      <w:t xml:space="preserve"> 25 -</w:t>
                    </w:r>
                    <w:r>
                      <w:fldChar w:fldCharType="end"/>
                    </w:r>
                    <w:r>
                      <w:rPr>
                        <w:rFonts w:hint="eastAsia"/>
                      </w:rPr>
                      <w:t xml:space="preserve"> -</w:t>
                    </w:r>
                  </w:p>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BFC62"/>
    <w:multiLevelType w:val="singleLevel"/>
    <w:tmpl w:val="9FFBFC62"/>
    <w:lvl w:ilvl="0" w:tentative="0">
      <w:start w:val="2"/>
      <w:numFmt w:val="decimal"/>
      <w:suff w:val="nothing"/>
      <w:lvlText w:val="%1、"/>
      <w:lvlJc w:val="left"/>
      <w:pPr>
        <w:ind w:left="540" w:firstLine="0"/>
      </w:pPr>
    </w:lvl>
  </w:abstractNum>
  <w:abstractNum w:abstractNumId="1">
    <w:nsid w:val="DFAD2183"/>
    <w:multiLevelType w:val="singleLevel"/>
    <w:tmpl w:val="DFAD2183"/>
    <w:lvl w:ilvl="0" w:tentative="0">
      <w:start w:val="6"/>
      <w:numFmt w:val="chineseCounting"/>
      <w:suff w:val="nothing"/>
      <w:lvlText w:val="（%1）"/>
      <w:lvlJc w:val="left"/>
      <w:rPr>
        <w:rFonts w:hint="eastAsia"/>
      </w:rPr>
    </w:lvl>
  </w:abstractNum>
  <w:abstractNum w:abstractNumId="2">
    <w:nsid w:val="FDBF0943"/>
    <w:multiLevelType w:val="singleLevel"/>
    <w:tmpl w:val="FDBF0943"/>
    <w:lvl w:ilvl="0" w:tentative="0">
      <w:start w:val="6"/>
      <w:numFmt w:val="chineseCounting"/>
      <w:suff w:val="nothing"/>
      <w:lvlText w:val="（%1）"/>
      <w:lvlJc w:val="left"/>
      <w:rPr>
        <w:rFonts w:hint="eastAsia"/>
      </w:rPr>
    </w:lvl>
  </w:abstractNum>
  <w:abstractNum w:abstractNumId="3">
    <w:nsid w:val="58BE3502"/>
    <w:multiLevelType w:val="singleLevel"/>
    <w:tmpl w:val="58BE3502"/>
    <w:lvl w:ilvl="0" w:tentative="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AC1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Body Text Indent"/>
    <w:basedOn w:val="1"/>
    <w:qFormat/>
    <w:uiPriority w:val="0"/>
    <w:pPr>
      <w:spacing w:after="120"/>
      <w:ind w:left="420" w:leftChars="200"/>
    </w:pPr>
    <w:rPr>
      <w:szCs w:val="20"/>
      <w:lang w:val="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20"/>
    <w:rPr>
      <w:color w:val="CC0000"/>
      <w:sz w:val="24"/>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张晓晨</cp:lastModifiedBy>
  <dcterms:modified xsi:type="dcterms:W3CDTF">2022-02-08T07:33:56Z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