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9C" w:rsidRPr="0023129C" w:rsidRDefault="0023129C" w:rsidP="0023129C">
      <w:pPr>
        <w:spacing w:line="460" w:lineRule="exact"/>
        <w:jc w:val="left"/>
        <w:rPr>
          <w:rFonts w:ascii="方正小标宋简体" w:eastAsia="方正小标宋简体"/>
          <w:color w:val="000000" w:themeColor="text1"/>
          <w:sz w:val="32"/>
          <w:szCs w:val="32"/>
        </w:rPr>
      </w:pPr>
      <w:r w:rsidRPr="0023129C">
        <w:rPr>
          <w:rFonts w:ascii="方正小标宋简体" w:eastAsia="方正小标宋简体" w:hint="eastAsia"/>
          <w:color w:val="000000" w:themeColor="text1"/>
          <w:sz w:val="32"/>
          <w:szCs w:val="32"/>
        </w:rPr>
        <w:t>附件</w:t>
      </w:r>
    </w:p>
    <w:p w:rsidR="0023129C" w:rsidRDefault="0023129C" w:rsidP="0023129C">
      <w:pPr>
        <w:spacing w:line="460" w:lineRule="exact"/>
        <w:jc w:val="center"/>
        <w:rPr>
          <w:rFonts w:ascii="方正小标宋简体" w:eastAsia="方正小标宋简体"/>
          <w:color w:val="000000" w:themeColor="text1"/>
          <w:sz w:val="44"/>
          <w:szCs w:val="44"/>
        </w:rPr>
      </w:pPr>
    </w:p>
    <w:p w:rsidR="00E844B6" w:rsidRPr="0023129C" w:rsidRDefault="0023129C" w:rsidP="0023129C">
      <w:pPr>
        <w:spacing w:line="460" w:lineRule="exact"/>
        <w:jc w:val="center"/>
        <w:rPr>
          <w:rFonts w:ascii="方正小标宋简体" w:eastAsia="方正小标宋简体" w:hint="eastAsia"/>
          <w:sz w:val="44"/>
          <w:szCs w:val="44"/>
        </w:rPr>
      </w:pPr>
      <w:bookmarkStart w:id="0" w:name="_GoBack"/>
      <w:r w:rsidRPr="0023129C">
        <w:rPr>
          <w:rFonts w:ascii="方正小标宋简体" w:eastAsia="方正小标宋简体" w:hint="eastAsia"/>
          <w:color w:val="000000" w:themeColor="text1"/>
          <w:sz w:val="44"/>
          <w:szCs w:val="44"/>
        </w:rPr>
        <w:t>2020年深圳市商务局普法责任清单</w:t>
      </w:r>
    </w:p>
    <w:tbl>
      <w:tblPr>
        <w:tblpPr w:leftFromText="180" w:rightFromText="180" w:vertAnchor="text" w:horzAnchor="page" w:tblpX="1387" w:tblpY="1652"/>
        <w:tblOverlap w:val="neve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810"/>
        <w:gridCol w:w="1965"/>
        <w:gridCol w:w="1475"/>
        <w:gridCol w:w="1170"/>
        <w:gridCol w:w="2520"/>
      </w:tblGrid>
      <w:tr w:rsidR="0023129C" w:rsidTr="00C06048">
        <w:trPr>
          <w:trHeight w:val="1003"/>
        </w:trPr>
        <w:tc>
          <w:tcPr>
            <w:tcW w:w="1170" w:type="dxa"/>
            <w:tcBorders>
              <w:top w:val="single" w:sz="4" w:space="0" w:color="000000"/>
              <w:left w:val="single" w:sz="4" w:space="0" w:color="000000"/>
              <w:bottom w:val="single" w:sz="4" w:space="0" w:color="000000"/>
              <w:right w:val="single" w:sz="4" w:space="0" w:color="000000"/>
            </w:tcBorders>
            <w:vAlign w:val="center"/>
          </w:tcPr>
          <w:bookmarkEnd w:id="0"/>
          <w:p w:rsidR="0023129C" w:rsidRDefault="0023129C" w:rsidP="0023129C">
            <w:pPr>
              <w:adjustRightInd w:val="0"/>
              <w:snapToGrid w:val="0"/>
              <w:spacing w:line="460" w:lineRule="exact"/>
              <w:rPr>
                <w:rFonts w:asciiTheme="majorEastAsia" w:eastAsiaTheme="majorEastAsia" w:hAnsiTheme="majorEastAsia"/>
                <w:b/>
                <w:szCs w:val="21"/>
              </w:rPr>
            </w:pPr>
            <w:r>
              <w:rPr>
                <w:rFonts w:asciiTheme="majorEastAsia" w:eastAsiaTheme="majorEastAsia" w:hAnsiTheme="majorEastAsia" w:hint="eastAsia"/>
                <w:b/>
                <w:szCs w:val="21"/>
              </w:rPr>
              <w:t>承办处室</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普法职责</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重点宣传法律法规</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普法对象</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宣传时间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工作方式</w:t>
            </w:r>
          </w:p>
        </w:tc>
      </w:tr>
      <w:tr w:rsidR="0023129C" w:rsidTr="00C06048">
        <w:trPr>
          <w:trHeight w:val="90"/>
        </w:trPr>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b/>
                <w:bCs/>
                <w:sz w:val="24"/>
              </w:rPr>
            </w:pPr>
            <w:r>
              <w:rPr>
                <w:rFonts w:ascii="仿宋_GB2312" w:eastAsia="仿宋_GB2312" w:hAnsi="仿宋" w:hint="eastAsia"/>
                <w:b/>
                <w:bCs/>
                <w:sz w:val="24"/>
              </w:rPr>
              <w:t>办公室</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宣传保密、档案管理、安全生产领域等法律法规及相关政策</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《保密法》、《安全生产法》、《档案法》</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全局</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rPr>
                <w:rFonts w:asciiTheme="majorEastAsia" w:eastAsia="仿宋_GB2312" w:hAnsiTheme="majorEastAsia"/>
                <w:b/>
                <w:sz w:val="32"/>
                <w:szCs w:val="32"/>
              </w:rPr>
            </w:pPr>
            <w:r>
              <w:rPr>
                <w:rFonts w:ascii="仿宋_GB2312" w:eastAsia="仿宋_GB2312" w:hAnsi="仿宋" w:hint="eastAsia"/>
                <w:sz w:val="24"/>
              </w:rPr>
              <w:t>通过组织培训讲座、官微宣传等多种形式开展宣传教育活动</w:t>
            </w:r>
          </w:p>
        </w:tc>
      </w:tr>
      <w:tr w:rsidR="0023129C" w:rsidTr="00C06048">
        <w:trPr>
          <w:trHeight w:val="90"/>
        </w:trPr>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Theme="majorEastAsia" w:eastAsiaTheme="majorEastAsia" w:hAnsiTheme="majorEastAsia"/>
                <w:b/>
                <w:sz w:val="32"/>
                <w:szCs w:val="32"/>
              </w:rPr>
            </w:pPr>
            <w:r>
              <w:rPr>
                <w:rFonts w:ascii="仿宋_GB2312" w:eastAsia="仿宋_GB2312" w:hAnsi="仿宋" w:hint="eastAsia"/>
                <w:b/>
                <w:bCs/>
                <w:sz w:val="24"/>
              </w:rPr>
              <w:t>综合法规处</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Theme="majorEastAsia" w:eastAsiaTheme="majorEastAsia" w:hAnsiTheme="majorEastAsia"/>
                <w:b/>
                <w:sz w:val="32"/>
                <w:szCs w:val="32"/>
              </w:rPr>
            </w:pPr>
            <w:r>
              <w:rPr>
                <w:rFonts w:ascii="仿宋_GB2312" w:eastAsia="仿宋_GB2312" w:hAnsi="仿宋" w:hint="eastAsia"/>
                <w:sz w:val="24"/>
              </w:rPr>
              <w:t>统筹全局普法任务、牵头宣传宪法及民法典等法律法规及相关政策</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Theme="majorEastAsia" w:eastAsiaTheme="majorEastAsia" w:hAnsiTheme="majorEastAsia"/>
                <w:b/>
                <w:sz w:val="32"/>
                <w:szCs w:val="32"/>
              </w:rPr>
            </w:pPr>
            <w:r>
              <w:rPr>
                <w:rFonts w:ascii="仿宋_GB2312" w:eastAsia="仿宋_GB2312" w:hAnsi="仿宋" w:hint="eastAsia"/>
                <w:sz w:val="24"/>
              </w:rPr>
              <w:t>《宪法》、《民法典》、《政府信息公开条例》等</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Theme="majorEastAsia" w:eastAsiaTheme="majorEastAsia" w:hAnsiTheme="majorEastAsia"/>
                <w:b/>
                <w:sz w:val="32"/>
                <w:szCs w:val="32"/>
              </w:rPr>
            </w:pPr>
            <w:r>
              <w:rPr>
                <w:rFonts w:ascii="仿宋_GB2312" w:eastAsia="仿宋_GB2312" w:hAnsi="仿宋" w:hint="eastAsia"/>
                <w:sz w:val="24"/>
              </w:rPr>
              <w:t>全局及商务领域市场主体</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Theme="majorEastAsia" w:eastAsiaTheme="majorEastAsia" w:hAnsiTheme="majorEastAsia"/>
                <w:b/>
                <w:sz w:val="32"/>
                <w:szCs w:val="32"/>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spacing w:line="460" w:lineRule="exact"/>
            </w:pPr>
            <w:r>
              <w:rPr>
                <w:rFonts w:ascii="仿宋_GB2312" w:eastAsia="仿宋_GB2312" w:hAnsi="仿宋" w:hint="eastAsia"/>
                <w:sz w:val="24"/>
              </w:rPr>
              <w:t>通过组织培训讲座、学法考试、发放民法典书籍、官微宣传等多种形式开展宣传教育活动</w:t>
            </w:r>
          </w:p>
          <w:p w:rsidR="0023129C" w:rsidRDefault="0023129C" w:rsidP="0023129C">
            <w:pPr>
              <w:adjustRightInd w:val="0"/>
              <w:snapToGrid w:val="0"/>
              <w:spacing w:line="460" w:lineRule="exact"/>
              <w:rPr>
                <w:rFonts w:asciiTheme="majorEastAsia" w:eastAsiaTheme="majorEastAsia" w:hAnsiTheme="majorEastAsia"/>
                <w:b/>
                <w:sz w:val="32"/>
                <w:szCs w:val="32"/>
              </w:rPr>
            </w:pPr>
          </w:p>
        </w:tc>
      </w:tr>
      <w:tr w:rsidR="0023129C" w:rsidTr="00C06048">
        <w:trPr>
          <w:trHeight w:val="2787"/>
        </w:trPr>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b/>
                <w:bCs/>
                <w:sz w:val="24"/>
              </w:rPr>
              <w:t>流通市场处</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宣传流通市场领域法律法规及相关政策</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p>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《拍卖法》、《二手车流通管理办法》、《商业特许经营管理条例》等法律法规及相关政策</w:t>
            </w:r>
          </w:p>
          <w:p w:rsidR="0023129C" w:rsidRDefault="0023129C" w:rsidP="0023129C">
            <w:pPr>
              <w:adjustRightInd w:val="0"/>
              <w:snapToGrid w:val="0"/>
              <w:spacing w:line="460" w:lineRule="exact"/>
              <w:jc w:val="left"/>
              <w:rPr>
                <w:rFonts w:ascii="仿宋_GB2312" w:eastAsia="仿宋_GB2312" w:hAnsi="仿宋"/>
                <w:sz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流通市场领域市场主体</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通过组织政策宣讲会、举办讲座、印发宣传册以及在当事人办理流通市场业务、咨询等环节向市场主体普及本业务领域内相关法律法规及政策</w:t>
            </w:r>
          </w:p>
        </w:tc>
      </w:tr>
      <w:tr w:rsidR="0023129C" w:rsidTr="00C06048">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32"/>
                <w:szCs w:val="32"/>
              </w:rPr>
            </w:pPr>
            <w:r>
              <w:rPr>
                <w:rFonts w:ascii="仿宋_GB2312" w:eastAsia="仿宋_GB2312" w:hAnsi="仿宋" w:hint="eastAsia"/>
                <w:b/>
                <w:bCs/>
                <w:sz w:val="24"/>
              </w:rPr>
              <w:t>对外贸易处</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32"/>
                <w:szCs w:val="32"/>
              </w:rPr>
            </w:pPr>
            <w:r>
              <w:rPr>
                <w:rFonts w:ascii="仿宋_GB2312" w:eastAsia="仿宋_GB2312" w:hAnsi="仿宋" w:hint="eastAsia"/>
                <w:sz w:val="24"/>
              </w:rPr>
              <w:t>宣传外贸领域法律法规及相关政策</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p>
          <w:p w:rsidR="0023129C" w:rsidRDefault="0023129C" w:rsidP="0023129C">
            <w:pPr>
              <w:adjustRightInd w:val="0"/>
              <w:snapToGrid w:val="0"/>
              <w:spacing w:line="460" w:lineRule="exact"/>
              <w:jc w:val="left"/>
              <w:rPr>
                <w:rFonts w:ascii="仿宋_GB2312" w:eastAsia="仿宋_GB2312" w:hAnsi="仿宋"/>
                <w:sz w:val="32"/>
                <w:szCs w:val="32"/>
              </w:rPr>
            </w:pPr>
            <w:r>
              <w:rPr>
                <w:rFonts w:ascii="仿宋_GB2312" w:eastAsia="仿宋_GB2312" w:hAnsi="仿宋" w:hint="eastAsia"/>
                <w:sz w:val="24"/>
              </w:rPr>
              <w:t>《对外贸易法》、《货物进出</w:t>
            </w:r>
            <w:r>
              <w:rPr>
                <w:rFonts w:ascii="仿宋_GB2312" w:eastAsia="仿宋_GB2312" w:hAnsi="仿宋" w:hint="eastAsia"/>
                <w:sz w:val="24"/>
              </w:rPr>
              <w:lastRenderedPageBreak/>
              <w:t>口管理条例》、《易制毒化学品管理条例》、《机电产品进口许可管理办法》等法律法规及相关政策</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32"/>
                <w:szCs w:val="32"/>
              </w:rPr>
            </w:pPr>
            <w:r>
              <w:rPr>
                <w:rFonts w:ascii="仿宋_GB2312" w:eastAsia="仿宋_GB2312" w:hAnsi="仿宋" w:hint="eastAsia"/>
                <w:sz w:val="24"/>
              </w:rPr>
              <w:lastRenderedPageBreak/>
              <w:t>对外贸易领域市场主体</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32"/>
                <w:szCs w:val="32"/>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通过组织政策宣讲会、举办讲座、印发宣传册以及在当事人</w:t>
            </w:r>
            <w:r>
              <w:rPr>
                <w:rFonts w:ascii="仿宋_GB2312" w:eastAsia="仿宋_GB2312" w:hAnsi="仿宋" w:hint="eastAsia"/>
                <w:sz w:val="24"/>
              </w:rPr>
              <w:lastRenderedPageBreak/>
              <w:t>办理服务贸易业务、咨询等环节向市场主体普及本业务领域内相关法律法规及政策</w:t>
            </w:r>
          </w:p>
          <w:p w:rsidR="0023129C" w:rsidRDefault="0023129C" w:rsidP="0023129C">
            <w:pPr>
              <w:adjustRightInd w:val="0"/>
              <w:snapToGrid w:val="0"/>
              <w:spacing w:line="460" w:lineRule="exact"/>
              <w:rPr>
                <w:rFonts w:ascii="仿宋_GB2312" w:eastAsia="仿宋_GB2312" w:hAnsi="仿宋"/>
                <w:sz w:val="32"/>
                <w:szCs w:val="32"/>
              </w:rPr>
            </w:pPr>
          </w:p>
        </w:tc>
      </w:tr>
      <w:tr w:rsidR="0023129C" w:rsidTr="00C06048">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b/>
                <w:bCs/>
                <w:sz w:val="24"/>
              </w:rPr>
            </w:pPr>
            <w:r>
              <w:rPr>
                <w:rFonts w:ascii="仿宋_GB2312" w:eastAsia="仿宋_GB2312" w:hAnsi="仿宋" w:hint="eastAsia"/>
                <w:b/>
                <w:bCs/>
                <w:sz w:val="24"/>
              </w:rPr>
              <w:lastRenderedPageBreak/>
              <w:t>服务贸易处</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宣传服贸领域法律法规及相关政策</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《展会知识产权保护办法》《技术进出口管理条例》等法律法规及相关政策</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服务贸易领域市场主体</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32"/>
                <w:szCs w:val="32"/>
              </w:rPr>
            </w:pPr>
            <w:r>
              <w:rPr>
                <w:rFonts w:ascii="仿宋_GB2312" w:eastAsia="仿宋_GB2312" w:hAnsi="仿宋" w:hint="eastAsia"/>
                <w:sz w:val="24"/>
              </w:rPr>
              <w:t>通过组织政策宣讲会、举办讲座、印发宣传册以及在当事人办理对外贸易业务、咨询等环节向市场主体普及本业务领域内相关法律法规及政策</w:t>
            </w:r>
          </w:p>
        </w:tc>
      </w:tr>
      <w:tr w:rsidR="0023129C" w:rsidTr="00C06048">
        <w:tc>
          <w:tcPr>
            <w:tcW w:w="117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textAlignment w:val="center"/>
              <w:rPr>
                <w:rFonts w:ascii="仿宋_GB2312" w:eastAsia="仿宋_GB2312" w:hAnsi="仿宋"/>
                <w:b/>
                <w:bCs/>
                <w:sz w:val="24"/>
              </w:rPr>
            </w:pPr>
          </w:p>
          <w:p w:rsidR="0023129C" w:rsidRDefault="0023129C" w:rsidP="0023129C">
            <w:pPr>
              <w:adjustRightInd w:val="0"/>
              <w:snapToGrid w:val="0"/>
              <w:spacing w:line="460" w:lineRule="exact"/>
              <w:jc w:val="center"/>
              <w:textAlignment w:val="center"/>
              <w:rPr>
                <w:rFonts w:ascii="仿宋_GB2312" w:eastAsia="仿宋_GB2312" w:hAnsi="仿宋"/>
                <w:b/>
                <w:bCs/>
                <w:sz w:val="24"/>
              </w:rPr>
            </w:pPr>
          </w:p>
          <w:p w:rsidR="0023129C" w:rsidRDefault="0023129C" w:rsidP="0023129C">
            <w:pPr>
              <w:adjustRightInd w:val="0"/>
              <w:snapToGrid w:val="0"/>
              <w:spacing w:line="460" w:lineRule="exact"/>
              <w:jc w:val="center"/>
              <w:textAlignment w:val="center"/>
              <w:rPr>
                <w:rFonts w:ascii="仿宋_GB2312" w:eastAsia="仿宋_GB2312" w:hAnsi="仿宋"/>
                <w:b/>
                <w:bCs/>
                <w:sz w:val="24"/>
              </w:rPr>
            </w:pPr>
            <w:r>
              <w:rPr>
                <w:rFonts w:ascii="仿宋_GB2312" w:eastAsia="仿宋_GB2312" w:hAnsi="仿宋" w:hint="eastAsia"/>
                <w:b/>
                <w:bCs/>
                <w:sz w:val="24"/>
              </w:rPr>
              <w:t>电子商务处</w:t>
            </w:r>
          </w:p>
        </w:tc>
        <w:tc>
          <w:tcPr>
            <w:tcW w:w="181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left"/>
              <w:rPr>
                <w:rFonts w:ascii="仿宋_GB2312" w:eastAsia="仿宋_GB2312" w:hAnsi="仿宋"/>
                <w:sz w:val="24"/>
              </w:rPr>
            </w:pPr>
          </w:p>
          <w:p w:rsidR="0023129C" w:rsidRDefault="0023129C" w:rsidP="0023129C">
            <w:pPr>
              <w:adjustRightInd w:val="0"/>
              <w:snapToGrid w:val="0"/>
              <w:spacing w:line="460" w:lineRule="exact"/>
              <w:jc w:val="left"/>
              <w:rPr>
                <w:rFonts w:ascii="仿宋_GB2312" w:eastAsia="仿宋_GB2312" w:hAnsi="仿宋"/>
                <w:sz w:val="24"/>
              </w:rPr>
            </w:pPr>
          </w:p>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宣传电子商务领域法律法规及相关政策</w:t>
            </w:r>
          </w:p>
        </w:tc>
        <w:tc>
          <w:tcPr>
            <w:tcW w:w="1965"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left"/>
              <w:rPr>
                <w:rFonts w:ascii="仿宋_GB2312" w:eastAsia="仿宋_GB2312" w:hAnsi="仿宋"/>
                <w:sz w:val="24"/>
              </w:rPr>
            </w:pPr>
          </w:p>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《电子商务法》、《深圳市关于推动电子商务加快发展的若干措施》等法律法规及相关政策</w:t>
            </w:r>
          </w:p>
        </w:tc>
        <w:tc>
          <w:tcPr>
            <w:tcW w:w="1475"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电子商务领域市场主体</w:t>
            </w:r>
          </w:p>
        </w:tc>
        <w:tc>
          <w:tcPr>
            <w:tcW w:w="117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rPr>
                <w:rFonts w:ascii="仿宋_GB2312" w:eastAsia="仿宋_GB2312" w:hAnsi="仿宋"/>
                <w:sz w:val="24"/>
              </w:rPr>
            </w:pPr>
            <w:r>
              <w:rPr>
                <w:rFonts w:ascii="仿宋_GB2312" w:eastAsia="仿宋_GB2312" w:hAnsi="仿宋" w:hint="eastAsia"/>
                <w:sz w:val="24"/>
              </w:rPr>
              <w:t>通过组织政策宣讲会、举办讲座、印发宣传册以及在当事人办理电子商务业务、咨询等环节向市场主体普及本业务领域内相关法律法规及政策</w:t>
            </w:r>
          </w:p>
        </w:tc>
      </w:tr>
      <w:tr w:rsidR="0023129C" w:rsidTr="00C06048">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b/>
                <w:bCs/>
                <w:sz w:val="24"/>
              </w:rPr>
            </w:pPr>
            <w:r>
              <w:rPr>
                <w:rFonts w:ascii="仿宋_GB2312" w:eastAsia="仿宋_GB2312" w:hAnsi="仿宋" w:hint="eastAsia"/>
                <w:b/>
                <w:bCs/>
                <w:sz w:val="24"/>
              </w:rPr>
              <w:t>保税经济处</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宣传保税领域法律法规及相关政策</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《深圳海关特殊监管区域管理办法》等法律法规及相关政策</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保税领域市场主体</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通过组织政策宣讲会、举办讲座、印发宣传册以及在当事人咨询等环节向市场主体普及本业务领域内相关法律法规及政策</w:t>
            </w:r>
          </w:p>
        </w:tc>
      </w:tr>
      <w:tr w:rsidR="0023129C" w:rsidTr="00C06048">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32"/>
                <w:szCs w:val="32"/>
              </w:rPr>
            </w:pPr>
            <w:r>
              <w:rPr>
                <w:rFonts w:ascii="仿宋_GB2312" w:eastAsia="仿宋_GB2312" w:hAnsi="仿宋" w:hint="eastAsia"/>
                <w:b/>
                <w:bCs/>
                <w:sz w:val="24"/>
              </w:rPr>
              <w:t>外资管理处</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32"/>
                <w:szCs w:val="32"/>
              </w:rPr>
            </w:pPr>
            <w:r>
              <w:rPr>
                <w:rFonts w:ascii="仿宋_GB2312" w:eastAsia="仿宋_GB2312" w:hAnsi="仿宋" w:hint="eastAsia"/>
                <w:sz w:val="24"/>
              </w:rPr>
              <w:t>宣传外商投资领域法律法规及相关政策</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32"/>
                <w:szCs w:val="32"/>
              </w:rPr>
            </w:pPr>
            <w:r>
              <w:rPr>
                <w:rFonts w:ascii="仿宋_GB2312" w:eastAsia="仿宋_GB2312" w:hAnsi="仿宋" w:hint="eastAsia"/>
                <w:sz w:val="24"/>
              </w:rPr>
              <w:t>《外商投资法》及配套政策</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外商投资领域市场主体</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32"/>
                <w:szCs w:val="32"/>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32"/>
                <w:szCs w:val="32"/>
              </w:rPr>
            </w:pPr>
            <w:r>
              <w:rPr>
                <w:rFonts w:ascii="仿宋_GB2312" w:eastAsia="仿宋_GB2312" w:hAnsi="仿宋" w:hint="eastAsia"/>
                <w:sz w:val="24"/>
              </w:rPr>
              <w:t>通过组织政策宣讲会、举办讲座、印发宣传册以及在当事人</w:t>
            </w:r>
            <w:r>
              <w:rPr>
                <w:rFonts w:ascii="仿宋_GB2312" w:eastAsia="仿宋_GB2312" w:hAnsi="仿宋" w:hint="eastAsia"/>
                <w:sz w:val="24"/>
              </w:rPr>
              <w:lastRenderedPageBreak/>
              <w:t>办理外商投资业务、咨询等环节向市场主体普及本业务领域内相关法律法规及政策</w:t>
            </w:r>
          </w:p>
        </w:tc>
      </w:tr>
      <w:tr w:rsidR="0023129C" w:rsidTr="00C06048">
        <w:trPr>
          <w:trHeight w:val="2219"/>
        </w:trPr>
        <w:tc>
          <w:tcPr>
            <w:tcW w:w="117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textAlignment w:val="center"/>
              <w:rPr>
                <w:rFonts w:ascii="仿宋_GB2312" w:eastAsia="仿宋_GB2312" w:hAnsi="仿宋"/>
                <w:b/>
                <w:bCs/>
                <w:sz w:val="24"/>
              </w:rPr>
            </w:pPr>
          </w:p>
          <w:p w:rsidR="0023129C" w:rsidRDefault="0023129C" w:rsidP="0023129C">
            <w:pPr>
              <w:adjustRightInd w:val="0"/>
              <w:snapToGrid w:val="0"/>
              <w:spacing w:line="460" w:lineRule="exact"/>
              <w:jc w:val="center"/>
              <w:textAlignment w:val="center"/>
              <w:rPr>
                <w:rFonts w:ascii="仿宋_GB2312" w:eastAsia="仿宋_GB2312" w:hAnsi="仿宋"/>
                <w:b/>
                <w:bCs/>
                <w:sz w:val="24"/>
              </w:rPr>
            </w:pPr>
            <w:r>
              <w:rPr>
                <w:rFonts w:ascii="仿宋_GB2312" w:eastAsia="仿宋_GB2312" w:hAnsi="仿宋" w:hint="eastAsia"/>
                <w:b/>
                <w:bCs/>
                <w:sz w:val="24"/>
              </w:rPr>
              <w:t>重大项目招商处、投资推广处</w:t>
            </w:r>
          </w:p>
        </w:tc>
        <w:tc>
          <w:tcPr>
            <w:tcW w:w="181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rPr>
                <w:rFonts w:ascii="仿宋_GB2312" w:eastAsia="仿宋_GB2312" w:hAnsi="仿宋"/>
                <w:sz w:val="24"/>
              </w:rPr>
            </w:pPr>
          </w:p>
          <w:p w:rsidR="0023129C" w:rsidRDefault="0023129C" w:rsidP="0023129C">
            <w:pPr>
              <w:adjustRightInd w:val="0"/>
              <w:snapToGrid w:val="0"/>
              <w:spacing w:line="460" w:lineRule="exact"/>
              <w:rPr>
                <w:rFonts w:ascii="仿宋_GB2312" w:eastAsia="仿宋_GB2312" w:hAnsi="仿宋"/>
                <w:sz w:val="24"/>
              </w:rPr>
            </w:pPr>
            <w:r>
              <w:rPr>
                <w:rFonts w:ascii="仿宋_GB2312" w:eastAsia="仿宋_GB2312" w:hAnsi="仿宋" w:hint="eastAsia"/>
                <w:sz w:val="24"/>
              </w:rPr>
              <w:t>宣传深圳营商环境及相关政策（涉及企业服务、政策支持等法治化营商环境）</w:t>
            </w:r>
          </w:p>
        </w:tc>
        <w:tc>
          <w:tcPr>
            <w:tcW w:w="1965"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rPr>
                <w:rFonts w:ascii="仿宋_GB2312" w:eastAsia="仿宋_GB2312" w:hAnsi="仿宋"/>
                <w:sz w:val="24"/>
              </w:rPr>
            </w:pPr>
          </w:p>
          <w:p w:rsidR="0023129C" w:rsidRDefault="0023129C" w:rsidP="0023129C">
            <w:pPr>
              <w:adjustRightInd w:val="0"/>
              <w:snapToGrid w:val="0"/>
              <w:spacing w:line="460" w:lineRule="exact"/>
              <w:rPr>
                <w:rFonts w:ascii="仿宋_GB2312" w:eastAsia="仿宋_GB2312" w:hAnsi="仿宋"/>
                <w:sz w:val="24"/>
              </w:rPr>
            </w:pPr>
          </w:p>
          <w:p w:rsidR="0023129C" w:rsidRDefault="0023129C" w:rsidP="0023129C">
            <w:pPr>
              <w:adjustRightInd w:val="0"/>
              <w:snapToGrid w:val="0"/>
              <w:spacing w:line="460" w:lineRule="exact"/>
              <w:rPr>
                <w:rFonts w:ascii="仿宋_GB2312" w:eastAsia="仿宋_GB2312" w:hAnsi="仿宋"/>
                <w:sz w:val="24"/>
              </w:rPr>
            </w:pPr>
            <w:r>
              <w:rPr>
                <w:rFonts w:ascii="仿宋_GB2312" w:eastAsia="仿宋_GB2312" w:hAnsi="仿宋" w:hint="eastAsia"/>
                <w:sz w:val="24"/>
              </w:rPr>
              <w:t>深圳营商环境及相关政策</w:t>
            </w:r>
          </w:p>
        </w:tc>
        <w:tc>
          <w:tcPr>
            <w:tcW w:w="1475"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市场主体</w:t>
            </w:r>
          </w:p>
        </w:tc>
        <w:tc>
          <w:tcPr>
            <w:tcW w:w="117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rPr>
                <w:rFonts w:ascii="仿宋_GB2312" w:eastAsia="仿宋_GB2312" w:hAnsi="仿宋"/>
                <w:sz w:val="24"/>
              </w:rPr>
            </w:pPr>
          </w:p>
          <w:p w:rsidR="0023129C" w:rsidRDefault="0023129C" w:rsidP="0023129C">
            <w:pPr>
              <w:adjustRightInd w:val="0"/>
              <w:snapToGrid w:val="0"/>
              <w:spacing w:line="460" w:lineRule="exact"/>
              <w:rPr>
                <w:rFonts w:ascii="仿宋_GB2312" w:eastAsia="仿宋_GB2312" w:hAnsi="仿宋"/>
                <w:sz w:val="24"/>
              </w:rPr>
            </w:pPr>
          </w:p>
          <w:p w:rsidR="0023129C" w:rsidRDefault="0023129C" w:rsidP="0023129C">
            <w:pPr>
              <w:adjustRightInd w:val="0"/>
              <w:snapToGrid w:val="0"/>
              <w:spacing w:line="460" w:lineRule="exact"/>
              <w:rPr>
                <w:rFonts w:ascii="仿宋_GB2312" w:eastAsia="仿宋_GB2312" w:hAnsi="仿宋"/>
                <w:sz w:val="24"/>
              </w:rPr>
            </w:pPr>
            <w:r>
              <w:rPr>
                <w:rFonts w:ascii="仿宋_GB2312" w:eastAsia="仿宋_GB2312" w:hAnsi="仿宋" w:hint="eastAsia"/>
                <w:sz w:val="24"/>
              </w:rPr>
              <w:t>在招商引资、投资推介等活动中宣传深圳营商环境及相关政策</w:t>
            </w:r>
          </w:p>
        </w:tc>
      </w:tr>
      <w:tr w:rsidR="0023129C" w:rsidTr="00C06048">
        <w:trPr>
          <w:trHeight w:val="2219"/>
        </w:trPr>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b/>
                <w:bCs/>
                <w:sz w:val="24"/>
              </w:rPr>
            </w:pPr>
            <w:r>
              <w:rPr>
                <w:rFonts w:ascii="仿宋_GB2312" w:eastAsia="仿宋_GB2312" w:hAnsi="仿宋" w:hint="eastAsia"/>
                <w:b/>
                <w:bCs/>
                <w:sz w:val="24"/>
              </w:rPr>
              <w:t>对外合作处</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宣传对外合作领域法律法规及相关政策</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《境外投资管理办法》、《对外承包工程管理条例》、《对外劳务合作管理条例》等法律法规及相关政策</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对外合作领域市场主体</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通过组织政策宣讲会、举办讲座、印发宣传册以及在当事人办理对外投资业务、咨询等环节向市场主体普及本业务领域内相关法律法规及政策</w:t>
            </w:r>
          </w:p>
        </w:tc>
      </w:tr>
      <w:tr w:rsidR="0023129C" w:rsidTr="00C06048">
        <w:trPr>
          <w:trHeight w:val="2219"/>
        </w:trPr>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b/>
                <w:bCs/>
                <w:sz w:val="24"/>
              </w:rPr>
            </w:pPr>
            <w:r>
              <w:rPr>
                <w:rFonts w:ascii="仿宋_GB2312" w:eastAsia="仿宋_GB2312" w:hAnsi="仿宋" w:hint="eastAsia"/>
                <w:b/>
                <w:bCs/>
                <w:sz w:val="24"/>
              </w:rPr>
              <w:t>机关党委（人事处）</w:t>
            </w:r>
          </w:p>
        </w:tc>
        <w:tc>
          <w:tcPr>
            <w:tcW w:w="181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宣传习近平新时代中国特色社会主义思想特别是习近平总书记关于全面依法治国、依规治党的重要论述、党内法规</w:t>
            </w:r>
          </w:p>
        </w:tc>
        <w:tc>
          <w:tcPr>
            <w:tcW w:w="196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left"/>
              <w:rPr>
                <w:rFonts w:ascii="仿宋_GB2312" w:eastAsia="仿宋_GB2312" w:hAnsi="仿宋"/>
                <w:sz w:val="24"/>
              </w:rPr>
            </w:pPr>
            <w:r>
              <w:rPr>
                <w:rFonts w:ascii="仿宋_GB2312" w:eastAsia="仿宋_GB2312" w:hAnsi="仿宋" w:hint="eastAsia"/>
                <w:sz w:val="24"/>
              </w:rPr>
              <w:t>《</w:t>
            </w:r>
            <w:r>
              <w:rPr>
                <w:rFonts w:ascii="仿宋_GB2312" w:eastAsia="仿宋_GB2312" w:hAnsi="仿宋"/>
                <w:color w:val="333333"/>
                <w:sz w:val="24"/>
              </w:rPr>
              <w:t>中共中央关于全面推进依法治国若干重大问题的决定</w:t>
            </w:r>
            <w:r>
              <w:rPr>
                <w:rFonts w:ascii="仿宋_GB2312" w:eastAsia="仿宋_GB2312" w:hAnsi="仿宋" w:hint="eastAsia"/>
                <w:sz w:val="24"/>
              </w:rPr>
              <w:t>》、《中国共产党廉洁自律准则》、《党政领导干部选拔任用工作条例》等</w:t>
            </w:r>
          </w:p>
        </w:tc>
        <w:tc>
          <w:tcPr>
            <w:tcW w:w="1475"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全局</w:t>
            </w:r>
          </w:p>
        </w:tc>
        <w:tc>
          <w:tcPr>
            <w:tcW w:w="117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vAlign w:val="center"/>
          </w:tcPr>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通过组织培训讲座、局党组会议等形式宣传学习</w:t>
            </w:r>
          </w:p>
        </w:tc>
      </w:tr>
      <w:tr w:rsidR="0023129C" w:rsidTr="00C06048">
        <w:trPr>
          <w:trHeight w:val="2379"/>
        </w:trPr>
        <w:tc>
          <w:tcPr>
            <w:tcW w:w="117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textAlignment w:val="center"/>
              <w:rPr>
                <w:rFonts w:ascii="仿宋_GB2312" w:eastAsia="仿宋_GB2312" w:hAnsi="仿宋"/>
                <w:b/>
                <w:bCs/>
                <w:sz w:val="24"/>
              </w:rPr>
            </w:pPr>
          </w:p>
          <w:p w:rsidR="0023129C" w:rsidRDefault="0023129C" w:rsidP="0023129C">
            <w:pPr>
              <w:adjustRightInd w:val="0"/>
              <w:snapToGrid w:val="0"/>
              <w:spacing w:line="460" w:lineRule="exact"/>
              <w:jc w:val="center"/>
              <w:textAlignment w:val="center"/>
              <w:rPr>
                <w:rFonts w:ascii="仿宋_GB2312" w:eastAsia="仿宋_GB2312" w:hAnsi="仿宋"/>
                <w:b/>
                <w:bCs/>
                <w:sz w:val="24"/>
              </w:rPr>
            </w:pPr>
          </w:p>
          <w:p w:rsidR="0023129C" w:rsidRDefault="0023129C" w:rsidP="0023129C">
            <w:pPr>
              <w:adjustRightInd w:val="0"/>
              <w:snapToGrid w:val="0"/>
              <w:spacing w:line="460" w:lineRule="exact"/>
              <w:jc w:val="center"/>
              <w:textAlignment w:val="center"/>
              <w:rPr>
                <w:rFonts w:ascii="仿宋_GB2312" w:eastAsia="仿宋_GB2312" w:hAnsi="仿宋"/>
                <w:b/>
                <w:bCs/>
                <w:sz w:val="24"/>
              </w:rPr>
            </w:pPr>
            <w:r>
              <w:rPr>
                <w:rFonts w:ascii="仿宋_GB2312" w:eastAsia="仿宋_GB2312" w:hAnsi="仿宋" w:hint="eastAsia"/>
                <w:b/>
                <w:bCs/>
                <w:sz w:val="24"/>
              </w:rPr>
              <w:t>公平贸易署</w:t>
            </w:r>
          </w:p>
        </w:tc>
        <w:tc>
          <w:tcPr>
            <w:tcW w:w="181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rPr>
                <w:rFonts w:ascii="仿宋_GB2312" w:eastAsia="仿宋_GB2312" w:hAnsi="仿宋"/>
                <w:sz w:val="24"/>
              </w:rPr>
            </w:pPr>
          </w:p>
          <w:p w:rsidR="0023129C" w:rsidRDefault="0023129C" w:rsidP="0023129C">
            <w:pPr>
              <w:adjustRightInd w:val="0"/>
              <w:snapToGrid w:val="0"/>
              <w:spacing w:line="460" w:lineRule="exact"/>
              <w:rPr>
                <w:rFonts w:ascii="仿宋_GB2312" w:eastAsia="仿宋_GB2312" w:hAnsi="仿宋"/>
                <w:sz w:val="24"/>
              </w:rPr>
            </w:pPr>
            <w:r>
              <w:rPr>
                <w:rFonts w:ascii="仿宋_GB2312" w:eastAsia="仿宋_GB2312" w:hAnsi="仿宋" w:hint="eastAsia"/>
                <w:sz w:val="24"/>
              </w:rPr>
              <w:t>宣传“涉外知识产权”、“世贸规则”等涉外合规法律法规及相关政策</w:t>
            </w:r>
          </w:p>
        </w:tc>
        <w:tc>
          <w:tcPr>
            <w:tcW w:w="1965"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rPr>
                <w:rFonts w:ascii="仿宋_GB2312" w:eastAsia="仿宋_GB2312" w:hAnsi="仿宋"/>
                <w:sz w:val="24"/>
              </w:rPr>
            </w:pPr>
          </w:p>
          <w:p w:rsidR="0023129C" w:rsidRDefault="0023129C" w:rsidP="0023129C">
            <w:pPr>
              <w:adjustRightInd w:val="0"/>
              <w:snapToGrid w:val="0"/>
              <w:spacing w:line="460" w:lineRule="exact"/>
              <w:rPr>
                <w:rFonts w:ascii="仿宋_GB2312" w:eastAsia="仿宋_GB2312" w:hAnsi="仿宋"/>
                <w:sz w:val="24"/>
              </w:rPr>
            </w:pPr>
            <w:r>
              <w:rPr>
                <w:rFonts w:ascii="仿宋_GB2312" w:eastAsia="仿宋_GB2312" w:hAnsi="仿宋" w:hint="eastAsia"/>
                <w:sz w:val="24"/>
              </w:rPr>
              <w:t>“涉外知识产权”、“世贸规则”等涉外合规法律法规及相关政策</w:t>
            </w:r>
          </w:p>
        </w:tc>
        <w:tc>
          <w:tcPr>
            <w:tcW w:w="1475"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涉外领域市场主体</w:t>
            </w:r>
          </w:p>
        </w:tc>
        <w:tc>
          <w:tcPr>
            <w:tcW w:w="117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p>
          <w:p w:rsidR="0023129C" w:rsidRDefault="0023129C" w:rsidP="0023129C">
            <w:pPr>
              <w:adjustRightInd w:val="0"/>
              <w:snapToGrid w:val="0"/>
              <w:spacing w:line="460" w:lineRule="exact"/>
              <w:jc w:val="center"/>
              <w:rPr>
                <w:rFonts w:ascii="仿宋_GB2312" w:eastAsia="仿宋_GB2312" w:hAnsi="仿宋"/>
                <w:sz w:val="24"/>
              </w:rPr>
            </w:pPr>
            <w:r>
              <w:rPr>
                <w:rFonts w:ascii="仿宋_GB2312" w:eastAsia="仿宋_GB2312" w:hAnsi="仿宋" w:hint="eastAsia"/>
                <w:sz w:val="24"/>
              </w:rPr>
              <w:t>全年</w:t>
            </w:r>
          </w:p>
        </w:tc>
        <w:tc>
          <w:tcPr>
            <w:tcW w:w="2520" w:type="dxa"/>
            <w:tcBorders>
              <w:top w:val="single" w:sz="4" w:space="0" w:color="000000"/>
              <w:left w:val="single" w:sz="4" w:space="0" w:color="000000"/>
              <w:bottom w:val="single" w:sz="4" w:space="0" w:color="000000"/>
              <w:right w:val="single" w:sz="4" w:space="0" w:color="000000"/>
            </w:tcBorders>
          </w:tcPr>
          <w:p w:rsidR="0023129C" w:rsidRDefault="0023129C" w:rsidP="0023129C">
            <w:pPr>
              <w:adjustRightInd w:val="0"/>
              <w:snapToGrid w:val="0"/>
              <w:spacing w:line="460" w:lineRule="exact"/>
              <w:rPr>
                <w:rFonts w:ascii="仿宋_GB2312" w:eastAsia="仿宋_GB2312" w:hAnsi="仿宋"/>
                <w:sz w:val="24"/>
              </w:rPr>
            </w:pPr>
          </w:p>
          <w:p w:rsidR="0023129C" w:rsidRDefault="0023129C" w:rsidP="0023129C">
            <w:pPr>
              <w:adjustRightInd w:val="0"/>
              <w:snapToGrid w:val="0"/>
              <w:spacing w:line="460" w:lineRule="exact"/>
              <w:rPr>
                <w:rFonts w:ascii="仿宋_GB2312" w:eastAsia="仿宋_GB2312" w:hAnsi="仿宋"/>
                <w:sz w:val="24"/>
              </w:rPr>
            </w:pPr>
            <w:r>
              <w:rPr>
                <w:rFonts w:ascii="仿宋_GB2312" w:eastAsia="仿宋_GB2312" w:hAnsi="仿宋" w:hint="eastAsia"/>
                <w:sz w:val="24"/>
              </w:rPr>
              <w:t>通过组织政策宣讲会、举办讲座、印发宣传册等向市场主体普及本业务领域内相关法律法规及政策</w:t>
            </w:r>
          </w:p>
        </w:tc>
      </w:tr>
    </w:tbl>
    <w:p w:rsidR="0023129C" w:rsidRDefault="0023129C" w:rsidP="0023129C">
      <w:pPr>
        <w:spacing w:line="460" w:lineRule="exact"/>
        <w:rPr>
          <w:rFonts w:hint="eastAsia"/>
        </w:rPr>
      </w:pPr>
    </w:p>
    <w:p w:rsidR="0023129C" w:rsidRDefault="0023129C" w:rsidP="0023129C">
      <w:pPr>
        <w:spacing w:line="460" w:lineRule="exact"/>
      </w:pPr>
    </w:p>
    <w:sectPr w:rsidR="002312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79" w:rsidRDefault="00320F79" w:rsidP="0023129C">
      <w:r>
        <w:separator/>
      </w:r>
    </w:p>
  </w:endnote>
  <w:endnote w:type="continuationSeparator" w:id="0">
    <w:p w:rsidR="00320F79" w:rsidRDefault="00320F79" w:rsidP="0023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79" w:rsidRDefault="00320F79" w:rsidP="0023129C">
      <w:r>
        <w:separator/>
      </w:r>
    </w:p>
  </w:footnote>
  <w:footnote w:type="continuationSeparator" w:id="0">
    <w:p w:rsidR="00320F79" w:rsidRDefault="00320F79" w:rsidP="00231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C1"/>
    <w:rsid w:val="0023129C"/>
    <w:rsid w:val="00320F79"/>
    <w:rsid w:val="007B5D01"/>
    <w:rsid w:val="00B201E9"/>
    <w:rsid w:val="00DB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9639D-B0D1-47FC-9DBA-66B8A4D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29C"/>
    <w:rPr>
      <w:sz w:val="18"/>
      <w:szCs w:val="18"/>
    </w:rPr>
  </w:style>
  <w:style w:type="paragraph" w:styleId="a4">
    <w:name w:val="footer"/>
    <w:basedOn w:val="a"/>
    <w:link w:val="Char0"/>
    <w:uiPriority w:val="99"/>
    <w:unhideWhenUsed/>
    <w:rsid w:val="0023129C"/>
    <w:pPr>
      <w:tabs>
        <w:tab w:val="center" w:pos="4153"/>
        <w:tab w:val="right" w:pos="8306"/>
      </w:tabs>
      <w:snapToGrid w:val="0"/>
      <w:jc w:val="left"/>
    </w:pPr>
    <w:rPr>
      <w:sz w:val="18"/>
      <w:szCs w:val="18"/>
    </w:rPr>
  </w:style>
  <w:style w:type="character" w:customStyle="1" w:styleId="Char0">
    <w:name w:val="页脚 Char"/>
    <w:basedOn w:val="a0"/>
    <w:link w:val="a4"/>
    <w:uiPriority w:val="99"/>
    <w:rsid w:val="002312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2020-09-02T07:45:00Z</dcterms:created>
  <dcterms:modified xsi:type="dcterms:W3CDTF">2020-09-02T07:48:00Z</dcterms:modified>
</cp:coreProperties>
</file>