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1" w:name="_GoBack"/>
      <w:bookmarkEnd w:id="1"/>
    </w:p>
    <w:p>
      <w:pPr>
        <w:spacing w:line="580" w:lineRule="exact"/>
        <w:jc w:val="center"/>
        <w:rPr>
          <w:rFonts w:ascii="方正小标宋简体" w:eastAsia="方正小标宋简体"/>
          <w:sz w:val="44"/>
          <w:szCs w:val="44"/>
        </w:rPr>
      </w:pPr>
      <w:r>
        <w:rPr>
          <w:rFonts w:hint="eastAsia" w:ascii="方正小标宋_GBK" w:hAnsi="方正小标宋_GBK" w:eastAsia="方正小标宋_GBK" w:cs="方正小标宋_GBK"/>
          <w:sz w:val="44"/>
          <w:szCs w:val="44"/>
        </w:rPr>
        <w:t>《深圳市商务发展“十四五”规划（征求意见稿）》</w:t>
      </w:r>
      <w:r>
        <w:rPr>
          <w:rFonts w:hint="eastAsia" w:ascii="方正小标宋简体" w:eastAsia="方正小标宋简体"/>
          <w:sz w:val="44"/>
          <w:szCs w:val="44"/>
        </w:rPr>
        <w:t>起草说明</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eastAsia="仿宋_GB2312"/>
          <w:sz w:val="32"/>
          <w:szCs w:val="32"/>
        </w:rPr>
        <w:t>努力开创商务高质量发展新局面，树立全国商务工作标杆</w:t>
      </w:r>
      <w:r>
        <w:rPr>
          <w:rFonts w:hint="eastAsia" w:ascii="仿宋_GB2312" w:hAnsi="仿宋_GB2312" w:eastAsia="仿宋_GB2312" w:cs="仿宋_GB2312"/>
          <w:sz w:val="32"/>
          <w:szCs w:val="32"/>
        </w:rPr>
        <w:t>，根据《粤港澳大湾区发展规划纲要》《中共中央 国务院关于支持深圳建设中国特色社会主义先行示范区的意见》《中共深圳市委关于制定国民经济和社会发展第十四个五年规划的建议》等文件，深圳市商务局起草了</w:t>
      </w:r>
      <w:bookmarkStart w:id="0" w:name="_Hlk44661758"/>
      <w:r>
        <w:rPr>
          <w:rFonts w:hint="eastAsia" w:ascii="仿宋_GB2312" w:hAnsi="仿宋_GB2312" w:eastAsia="仿宋_GB2312" w:cs="仿宋_GB2312"/>
          <w:sz w:val="32"/>
          <w:szCs w:val="32"/>
        </w:rPr>
        <w:t>《深圳市商务发展“十四五”规划（征求意见稿）》</w:t>
      </w:r>
      <w:bookmarkEnd w:id="0"/>
      <w:r>
        <w:rPr>
          <w:rFonts w:hint="eastAsia" w:ascii="仿宋_GB2312" w:hAnsi="仿宋_GB2312" w:eastAsia="仿宋_GB2312" w:cs="仿宋_GB2312"/>
          <w:sz w:val="32"/>
          <w:szCs w:val="32"/>
        </w:rPr>
        <w:t>。现将有关事项说明如下：</w:t>
      </w:r>
    </w:p>
    <w:p>
      <w:pPr>
        <w:spacing w:line="580" w:lineRule="exact"/>
        <w:ind w:firstLine="640" w:firstLineChars="200"/>
        <w:outlineLvl w:val="0"/>
        <w:rPr>
          <w:rFonts w:ascii="黑体" w:hAnsi="黑体" w:eastAsia="黑体"/>
          <w:sz w:val="32"/>
          <w:szCs w:val="32"/>
        </w:rPr>
      </w:pPr>
      <w:r>
        <w:rPr>
          <w:rFonts w:hint="eastAsia" w:ascii="黑体" w:hAnsi="黑体" w:eastAsia="黑体"/>
          <w:sz w:val="32"/>
          <w:szCs w:val="32"/>
        </w:rPr>
        <w:t>一、起草背景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“十四五”时期，是“两个一百年”奋斗目标的历史交汇期，是我国由全面建成小康社会向基本实现社会主义现代化迈进的关键时期，也是深圳推动商务高质量发展和高水平对外开放的重要时期。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粤港澳大湾区规划纲要》明确提出深圳加快建成现代化国际化城市，努力成为具有世界影响力的创新创意之都，深化深港澳更紧密更务实合作，提升重大战略平台发展能级，打造“一带一路”重要支撑区，努力形成全面开放新格局。《中共中央 国务院关于支持深圳建设中国特色社会主义先行示范区的意见》，支持深圳实施综合授权改革试点，在要素市场化配置、营商环境优化等重点领域深化改革、先行先试，支持深圳高标准高质量建设自由贸易试验区、深化前海深港现代服务业合作区改革开放、加快建设深港科技创新合作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为加快我市商务高质量发展，在社会主要矛盾发生关系全局的历史性变化基础上，积极谋划推动商务高质量发展、消费转型升级、双向投资环境优化，我局起草了《深圳市商务发展“十四五”规划（</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w:t>
      </w:r>
    </w:p>
    <w:p>
      <w:pPr>
        <w:spacing w:line="580" w:lineRule="exact"/>
        <w:ind w:firstLine="640" w:firstLineChars="200"/>
        <w:outlineLvl w:val="0"/>
        <w:rPr>
          <w:rFonts w:ascii="黑体" w:hAnsi="黑体" w:eastAsia="黑体"/>
          <w:sz w:val="32"/>
          <w:szCs w:val="32"/>
        </w:rPr>
      </w:pPr>
      <w:r>
        <w:rPr>
          <w:rFonts w:hint="eastAsia" w:ascii="黑体" w:hAnsi="黑体" w:eastAsia="黑体"/>
          <w:sz w:val="32"/>
          <w:szCs w:val="32"/>
        </w:rPr>
        <w:t>二、《行动方案》主要内容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全文分为五部分，主要内容如下：</w:t>
      </w:r>
    </w:p>
    <w:p>
      <w:pPr>
        <w:spacing w:line="58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（一）发展基础与发展环境</w:t>
      </w:r>
    </w:p>
    <w:p>
      <w:pPr>
        <w:adjustRightInd w:val="0"/>
        <w:snapToGrid w:val="0"/>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一是发展成就。</w:t>
      </w:r>
      <w:r>
        <w:rPr>
          <w:rFonts w:hint="eastAsia" w:ascii="仿宋_GB2312" w:eastAsia="仿宋_GB2312"/>
          <w:sz w:val="32"/>
          <w:szCs w:val="32"/>
        </w:rPr>
        <w:t>总结“十三五”期间深圳在商业基础设施逐步完善、消费规模稳步增长、贸易结构持续优化、开放型经济等领域取得的显著成效。</w:t>
      </w:r>
    </w:p>
    <w:p>
      <w:pPr>
        <w:adjustRightInd w:val="0"/>
        <w:snapToGrid w:val="0"/>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二是存在问题。</w:t>
      </w:r>
      <w:r>
        <w:rPr>
          <w:rFonts w:hint="eastAsia" w:ascii="仿宋_GB2312" w:eastAsia="仿宋_GB2312"/>
          <w:sz w:val="32"/>
          <w:szCs w:val="32"/>
        </w:rPr>
        <w:t>总结“十三五”期间深圳在消费增长停滞不前、要素成本攀升、</w:t>
      </w:r>
      <w:r>
        <w:rPr>
          <w:rFonts w:hint="eastAsia" w:ascii="仿宋_GB2312" w:eastAsia="仿宋_GB2312"/>
          <w:sz w:val="32"/>
          <w:szCs w:val="32"/>
          <w:lang w:eastAsia="zh-CN"/>
        </w:rPr>
        <w:t>行业头部企业偏少、</w:t>
      </w:r>
      <w:r>
        <w:rPr>
          <w:rFonts w:hint="eastAsia" w:ascii="仿宋_GB2312" w:eastAsia="仿宋_GB2312"/>
          <w:sz w:val="32"/>
          <w:szCs w:val="32"/>
        </w:rPr>
        <w:t>商业模式创新滞后等方面存在的突出矛盾和问题。</w:t>
      </w:r>
    </w:p>
    <w:p>
      <w:pPr>
        <w:adjustRightInd w:val="0"/>
        <w:snapToGrid w:val="0"/>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三是面临形势。</w:t>
      </w:r>
      <w:r>
        <w:rPr>
          <w:rFonts w:hint="eastAsia" w:ascii="仿宋_GB2312" w:eastAsia="仿宋_GB2312"/>
          <w:sz w:val="32"/>
          <w:szCs w:val="32"/>
          <w:lang w:eastAsia="zh-CN"/>
        </w:rPr>
        <w:t>从国际、国内、市内三个角度，</w:t>
      </w:r>
      <w:r>
        <w:rPr>
          <w:rFonts w:hint="eastAsia" w:ascii="仿宋_GB2312" w:eastAsia="仿宋_GB2312"/>
          <w:sz w:val="32"/>
          <w:szCs w:val="32"/>
        </w:rPr>
        <w:t>总结“十三五”期间深圳</w:t>
      </w:r>
      <w:r>
        <w:rPr>
          <w:rFonts w:hint="eastAsia" w:ascii="仿宋_GB2312" w:eastAsia="仿宋_GB2312"/>
          <w:sz w:val="32"/>
          <w:szCs w:val="32"/>
          <w:lang w:eastAsia="zh-CN"/>
        </w:rPr>
        <w:t>面临的外部形势变化，包括全球化深层矛盾的凸显、国际贸易摩擦升级、经济动能转化、更高水平的开放发展、“双区”建设等。</w:t>
      </w:r>
    </w:p>
    <w:p>
      <w:pPr>
        <w:spacing w:line="58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（二）发展思路</w:t>
      </w:r>
    </w:p>
    <w:p>
      <w:pPr>
        <w:adjustRightInd w:val="0"/>
        <w:snapToGrid w:val="0"/>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一是指导思想。</w:t>
      </w:r>
      <w:r>
        <w:rPr>
          <w:rFonts w:hint="eastAsia" w:ascii="仿宋_GB2312" w:eastAsia="仿宋_GB2312"/>
          <w:sz w:val="32"/>
          <w:szCs w:val="32"/>
        </w:rPr>
        <w:t>以习近平新时代中国特色社会主义思想为指导，按照习近平总书记赋予深圳“建设中国特色社会主义先行示范区、创建现代化强国的城市范例”的新使命，突出商务发展质量和效益，结合最新文件精神相关内容拟定。</w:t>
      </w:r>
    </w:p>
    <w:p>
      <w:pPr>
        <w:adjustRightInd w:val="0"/>
        <w:snapToGrid w:val="0"/>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二是基本原则。</w:t>
      </w:r>
      <w:r>
        <w:rPr>
          <w:rFonts w:hint="eastAsia" w:ascii="仿宋_GB2312" w:eastAsia="仿宋_GB2312"/>
          <w:sz w:val="32"/>
          <w:szCs w:val="32"/>
        </w:rPr>
        <w:t>以坚持制度引领、坚持创新驱动、坚持质量为本、坚持融合发展、坚持扩大开放为基本原则。</w:t>
      </w:r>
    </w:p>
    <w:p>
      <w:pPr>
        <w:adjustRightInd w:val="0"/>
        <w:snapToGrid w:val="0"/>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三是发展目标。</w:t>
      </w:r>
      <w:r>
        <w:rPr>
          <w:rFonts w:hint="eastAsia" w:ascii="仿宋_GB2312" w:eastAsia="仿宋_GB2312"/>
          <w:sz w:val="32"/>
          <w:szCs w:val="32"/>
        </w:rPr>
        <w:t>到2025年，对商业消费、对外贸易、利用外资、投资推广、对外投资提出了具体目标。</w:t>
      </w:r>
    </w:p>
    <w:p>
      <w:pPr>
        <w:spacing w:line="58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（三）主要任务</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一是加快国际消费中心城市建设。</w:t>
      </w:r>
      <w:r>
        <w:rPr>
          <w:rFonts w:hint="eastAsia" w:ascii="仿宋_GB2312" w:eastAsia="仿宋_GB2312"/>
          <w:sz w:val="32"/>
          <w:szCs w:val="32"/>
        </w:rPr>
        <w:t>优化区域商业布局，提升消费创新引领能级，推动商贸服务业创新发展，营造国际化消费环境，提升城市消费竞争力。</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二是推进商务数字化转型发展。</w:t>
      </w:r>
      <w:r>
        <w:rPr>
          <w:rFonts w:hint="eastAsia" w:ascii="仿宋_GB2312" w:eastAsia="仿宋_GB2312"/>
          <w:sz w:val="32"/>
          <w:szCs w:val="32"/>
        </w:rPr>
        <w:t>推进线上线下深度融合，做大做强电子商务，大力发展智慧商务，强化数字经济创新发展试验区建设支撑。</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三是打造国际贸易中心城市。</w:t>
      </w:r>
      <w:r>
        <w:rPr>
          <w:rFonts w:hint="eastAsia" w:ascii="仿宋_GB2312" w:eastAsia="仿宋_GB2312"/>
          <w:sz w:val="32"/>
          <w:szCs w:val="32"/>
        </w:rPr>
        <w:t>大力发展服务贸易和转口贸易、离岸贸易、数字贸易等新型贸易业态，优化外贸市场结构，塑造外贸竞争新优势。</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四是增强全球资源配置能力。</w:t>
      </w:r>
      <w:r>
        <w:rPr>
          <w:rFonts w:hint="eastAsia" w:ascii="仿宋_GB2312" w:eastAsia="仿宋_GB2312"/>
          <w:color w:val="000000"/>
          <w:sz w:val="32"/>
          <w:szCs w:val="32"/>
        </w:rPr>
        <w:t>加快发展平台经济，建设国际贸易结算中心，打造国际会展中心城市，加大全球招商引资力度，提升对外投资合作水平，不断完善城市的国际化功能，不断增强城市全球辐射力和影响力。</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color w:val="000000"/>
          <w:kern w:val="0"/>
          <w:sz w:val="32"/>
          <w:szCs w:val="32"/>
        </w:rPr>
        <w:t>五是推动商务法制和人才建设。</w:t>
      </w:r>
      <w:r>
        <w:rPr>
          <w:rFonts w:hint="eastAsia" w:ascii="仿宋_GB2312" w:hAnsi="Arial" w:eastAsia="仿宋_GB2312" w:cs="Arial"/>
          <w:color w:val="000000"/>
          <w:kern w:val="0"/>
          <w:sz w:val="32"/>
          <w:szCs w:val="32"/>
        </w:rPr>
        <w:t>加强商务法治化建设，大力实施“人才强商”战略，推动商务规范化发展，</w:t>
      </w:r>
      <w:r>
        <w:rPr>
          <w:rFonts w:hint="eastAsia" w:ascii="仿宋_GB2312" w:eastAsia="仿宋_GB2312"/>
          <w:sz w:val="32"/>
          <w:szCs w:val="32"/>
        </w:rPr>
        <w:t>提高商务法制和商务领域人才的国际竞争力。</w:t>
      </w:r>
    </w:p>
    <w:p>
      <w:pPr>
        <w:spacing w:line="560" w:lineRule="exact"/>
        <w:ind w:firstLine="643" w:firstLineChars="200"/>
        <w:rPr>
          <w:rFonts w:ascii="黑体" w:hAnsi="黑体" w:eastAsia="黑体"/>
          <w:sz w:val="32"/>
          <w:szCs w:val="32"/>
        </w:rPr>
      </w:pPr>
      <w:r>
        <w:rPr>
          <w:rFonts w:hint="eastAsia" w:ascii="仿宋_GB2312" w:hAnsi="仿宋_GB2312" w:eastAsia="仿宋_GB2312" w:cs="仿宋_GB2312"/>
          <w:b/>
          <w:bCs/>
          <w:kern w:val="0"/>
          <w:sz w:val="32"/>
          <w:szCs w:val="32"/>
        </w:rPr>
        <w:t>六是营造国际一流商务发展环境。</w:t>
      </w:r>
      <w:r>
        <w:rPr>
          <w:rFonts w:hint="eastAsia" w:ascii="仿宋_GB2312" w:eastAsia="仿宋_GB2312"/>
          <w:sz w:val="32"/>
          <w:szCs w:val="32"/>
        </w:rPr>
        <w:t>深化“放管服”改革，推动投资贸易便利化自由化，推进贸易通关制度改革创新，加强商务诚信体系建设，建立商务领域审慎包容的监管体系，提升商务环境市场化、便利化、国际化水平。</w:t>
      </w:r>
    </w:p>
    <w:p>
      <w:pPr>
        <w:spacing w:line="58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（四）重大工程</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一是商贸基础设施建设工程。</w:t>
      </w:r>
      <w:r>
        <w:rPr>
          <w:rFonts w:hint="eastAsia" w:ascii="仿宋_GB2312" w:eastAsia="仿宋_GB2312"/>
          <w:sz w:val="32"/>
          <w:szCs w:val="32"/>
        </w:rPr>
        <w:t>加快推进消费基础设施、服务贸易基础设施、转口贸易基础设施建设，全面提升我市商贸发展基础条件。</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二是深港口岸商业带建设工程。</w:t>
      </w:r>
      <w:r>
        <w:rPr>
          <w:rFonts w:hint="eastAsia" w:ascii="仿宋_GB2312" w:eastAsia="仿宋_GB2312"/>
          <w:sz w:val="32"/>
          <w:szCs w:val="32"/>
        </w:rPr>
        <w:t>谋划建设沙头角深港国际旅游消费中心、莲塘深港数字贸易进出口合作区、罗湖口岸消费创新示范区、皇岗口岸离岸商务服务集聚区，提升口岸商业设施服务功能。</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三是国际化商圈建设工程。</w:t>
      </w:r>
      <w:r>
        <w:rPr>
          <w:rFonts w:hint="eastAsia" w:ascii="仿宋_GB2312" w:eastAsia="仿宋_GB2312"/>
          <w:sz w:val="32"/>
          <w:szCs w:val="32"/>
        </w:rPr>
        <w:t>高标准高质量推进罗湖“金三角”商业区、福田中心商业区、后海湾超级商业区建设发展，打造世界级地标性商圈。</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四是特色化商街建设工程。</w:t>
      </w:r>
      <w:r>
        <w:rPr>
          <w:rFonts w:hint="eastAsia" w:ascii="仿宋_GB2312" w:eastAsia="仿宋_GB2312"/>
          <w:sz w:val="32"/>
          <w:szCs w:val="32"/>
        </w:rPr>
        <w:t>突出产业特色与滨海特色，谋划建设一批时尚特色商街、滨海风情特色商街、文旅创意商街、特色商品小镇。</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五是保税区创新升级工程。</w:t>
      </w:r>
      <w:r>
        <w:rPr>
          <w:rFonts w:hint="eastAsia" w:ascii="仿宋_GB2312" w:eastAsia="仿宋_GB2312"/>
          <w:sz w:val="32"/>
          <w:szCs w:val="32"/>
        </w:rPr>
        <w:t>发挥保税区区位优势、政策优势，推动福田保税区改造升级、前海湾保税港区二期园区建设、空港综合保税区建设、盐田综合保税区二期园区建设。</w:t>
      </w:r>
    </w:p>
    <w:p>
      <w:pPr>
        <w:spacing w:line="58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（五）保障措施</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一是组织保障。</w:t>
      </w:r>
      <w:r>
        <w:rPr>
          <w:rFonts w:hint="eastAsia" w:ascii="仿宋_GB2312" w:eastAsia="仿宋_GB2312"/>
          <w:sz w:val="32"/>
          <w:szCs w:val="32"/>
        </w:rPr>
        <w:t>健全商务工作统筹协调机制；完善重大项目落地协同推进机制；加强规划实施管理。</w:t>
      </w:r>
    </w:p>
    <w:p>
      <w:pPr>
        <w:spacing w:line="560" w:lineRule="exact"/>
        <w:ind w:firstLine="643" w:firstLineChars="200"/>
        <w:rPr>
          <w:rFonts w:ascii="楷体_GB2312" w:hAnsi="楷体_GB2312" w:eastAsia="楷体_GB2312" w:cs="楷体_GB2312"/>
          <w:kern w:val="0"/>
          <w:sz w:val="32"/>
          <w:szCs w:val="32"/>
        </w:rPr>
      </w:pPr>
      <w:r>
        <w:rPr>
          <w:rFonts w:hint="eastAsia" w:ascii="仿宋_GB2312" w:hAnsi="仿宋_GB2312" w:eastAsia="仿宋_GB2312" w:cs="仿宋_GB2312"/>
          <w:b/>
          <w:bCs/>
          <w:kern w:val="0"/>
          <w:sz w:val="32"/>
          <w:szCs w:val="32"/>
        </w:rPr>
        <w:t>二是财税保障。</w:t>
      </w:r>
      <w:r>
        <w:rPr>
          <w:rFonts w:hint="eastAsia" w:ascii="仿宋_GB2312" w:eastAsia="仿宋_GB2312"/>
          <w:sz w:val="32"/>
          <w:szCs w:val="32"/>
        </w:rPr>
        <w:t>加强财政资金对商务领域的支持力度；研究设立商务发展专项资金；鼓励创业投资机构和产业投资基金投资商务领域创新项目。</w:t>
      </w:r>
    </w:p>
    <w:p>
      <w:pPr>
        <w:spacing w:line="560" w:lineRule="exact"/>
        <w:ind w:firstLine="643" w:firstLineChars="200"/>
        <w:rPr>
          <w:rFonts w:ascii="黑体" w:hAnsi="黑体" w:eastAsia="黑体"/>
          <w:sz w:val="32"/>
          <w:szCs w:val="32"/>
        </w:rPr>
      </w:pPr>
      <w:r>
        <w:rPr>
          <w:rFonts w:hint="eastAsia" w:ascii="仿宋_GB2312" w:hAnsi="仿宋_GB2312" w:eastAsia="仿宋_GB2312" w:cs="仿宋_GB2312"/>
          <w:b/>
          <w:bCs/>
          <w:kern w:val="0"/>
          <w:sz w:val="32"/>
          <w:szCs w:val="32"/>
        </w:rPr>
        <w:t>三是空间保障。</w:t>
      </w:r>
      <w:r>
        <w:rPr>
          <w:rFonts w:hint="eastAsia" w:ascii="仿宋_GB2312" w:hAnsi="Arial" w:eastAsia="仿宋_GB2312" w:cs="Arial"/>
          <w:kern w:val="0"/>
          <w:sz w:val="32"/>
          <w:szCs w:val="32"/>
        </w:rPr>
        <w:t>加强城市空间规划与重点商业发展片区、商业网点规划衔接；联合开展新建商业发展空间的规划研究；加强对重要商业设施用地的支持；预留一定商业发展弹性用地。</w:t>
      </w:r>
    </w:p>
    <w:p>
      <w:pPr>
        <w:spacing w:line="560" w:lineRule="exact"/>
        <w:ind w:firstLine="643" w:firstLineChars="200"/>
        <w:rPr>
          <w:rFonts w:ascii="黑体" w:hAnsi="黑体" w:eastAsia="黑体"/>
          <w:sz w:val="32"/>
          <w:szCs w:val="32"/>
        </w:rPr>
      </w:pPr>
      <w:r>
        <w:rPr>
          <w:rFonts w:hint="eastAsia" w:ascii="仿宋_GB2312" w:hAnsi="仿宋_GB2312" w:eastAsia="仿宋_GB2312" w:cs="仿宋_GB2312"/>
          <w:b/>
          <w:bCs/>
          <w:kern w:val="0"/>
          <w:sz w:val="32"/>
          <w:szCs w:val="32"/>
        </w:rPr>
        <w:t>四是政策保障。</w:t>
      </w:r>
      <w:r>
        <w:rPr>
          <w:rFonts w:hint="eastAsia" w:ascii="仿宋_GB2312" w:eastAsia="仿宋_GB2312"/>
          <w:sz w:val="32"/>
          <w:szCs w:val="32"/>
        </w:rPr>
        <w:t>加强商务领域政策与产业、财税、金融、人才等政策的集聚整合；加强商务领域政策研究；完善商务领域统计运行监测分析体系。</w:t>
      </w:r>
    </w:p>
    <w:sectPr>
      <w:footerReference r:id="rId3" w:type="default"/>
      <w:pgSz w:w="11906" w:h="16838"/>
      <w:pgMar w:top="1440" w:right="1800" w:bottom="1440" w:left="1800"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175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1828800"/>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square" lIns="0" tIns="0" rIns="0" bIns="0" anchor="t">
                      <a:spAutoFit/>
                    </wps:bodyPr>
                  </wps:wsp>
                </a:graphicData>
              </a:graphic>
            </wp:anchor>
          </w:drawing>
        </mc:Choice>
        <mc:Fallback>
          <w:pict>
            <v:shape id="_x0000_s1026" o:spid="_x0000_s1026" o:spt="202" type="#_x0000_t202" style="position:absolute;left:0pt;margin-top:0pt;height:144pt;width:56.5pt;mso-position-horizontal:outside;mso-position-horizontal-relative:margin;z-index:251658240;mso-width-relative:page;mso-height-relative:page;" filled="f" stroked="f" coordsize="21600,21600" o:gfxdata="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b1g7dIAAAAFAQAADwAAAAAAAAABACAAAAAiAAAAZHJzL2Rvd25yZXYueG1sUEsBAhQAFAAA&#10;AAgAh07iQJi79B28AQAAVwMAAA4AAAAAAAAAAQAgAAAAIQEAAGRycy9lMm9Eb2MueG1sUEsFBgAA&#10;AAAGAAYAWQEAAE8FA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comment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EA"/>
    <w:rsid w:val="00057D01"/>
    <w:rsid w:val="0016465C"/>
    <w:rsid w:val="002D207C"/>
    <w:rsid w:val="002F5736"/>
    <w:rsid w:val="003047C7"/>
    <w:rsid w:val="00314944"/>
    <w:rsid w:val="004B3372"/>
    <w:rsid w:val="00575F10"/>
    <w:rsid w:val="006D38ED"/>
    <w:rsid w:val="00777E01"/>
    <w:rsid w:val="007C3885"/>
    <w:rsid w:val="00846263"/>
    <w:rsid w:val="008F6D0C"/>
    <w:rsid w:val="00AA6AE2"/>
    <w:rsid w:val="00AC0A95"/>
    <w:rsid w:val="00BE24E0"/>
    <w:rsid w:val="00C54693"/>
    <w:rsid w:val="00E153EA"/>
    <w:rsid w:val="00EC3322"/>
    <w:rsid w:val="01EE7BC1"/>
    <w:rsid w:val="01EF66C1"/>
    <w:rsid w:val="029660CD"/>
    <w:rsid w:val="030D55D0"/>
    <w:rsid w:val="057451BE"/>
    <w:rsid w:val="07820CFB"/>
    <w:rsid w:val="07CB731B"/>
    <w:rsid w:val="07EE65BA"/>
    <w:rsid w:val="09574E74"/>
    <w:rsid w:val="098A7FB1"/>
    <w:rsid w:val="0C223C61"/>
    <w:rsid w:val="0C2B3CC6"/>
    <w:rsid w:val="0C9A4F28"/>
    <w:rsid w:val="0F043822"/>
    <w:rsid w:val="0F1E6D6D"/>
    <w:rsid w:val="0F263F23"/>
    <w:rsid w:val="111B4E97"/>
    <w:rsid w:val="11721AB3"/>
    <w:rsid w:val="118E3E44"/>
    <w:rsid w:val="12647897"/>
    <w:rsid w:val="12855264"/>
    <w:rsid w:val="128E3C61"/>
    <w:rsid w:val="1301229D"/>
    <w:rsid w:val="13266F0A"/>
    <w:rsid w:val="135E2FAC"/>
    <w:rsid w:val="14A00D64"/>
    <w:rsid w:val="14B87F06"/>
    <w:rsid w:val="156E349C"/>
    <w:rsid w:val="157466D4"/>
    <w:rsid w:val="16423DD4"/>
    <w:rsid w:val="18F50F70"/>
    <w:rsid w:val="1A0D2576"/>
    <w:rsid w:val="1A281254"/>
    <w:rsid w:val="1A61328A"/>
    <w:rsid w:val="1B2F2F0F"/>
    <w:rsid w:val="1B512CFD"/>
    <w:rsid w:val="1D1A0D28"/>
    <w:rsid w:val="1D307C33"/>
    <w:rsid w:val="1D6401EF"/>
    <w:rsid w:val="1DF808F6"/>
    <w:rsid w:val="1E023B6A"/>
    <w:rsid w:val="1EBB68EB"/>
    <w:rsid w:val="205F5044"/>
    <w:rsid w:val="20BB3C30"/>
    <w:rsid w:val="21064525"/>
    <w:rsid w:val="211E0C29"/>
    <w:rsid w:val="216E0E61"/>
    <w:rsid w:val="21C03662"/>
    <w:rsid w:val="2226523E"/>
    <w:rsid w:val="22E36231"/>
    <w:rsid w:val="22F6662B"/>
    <w:rsid w:val="232D13A4"/>
    <w:rsid w:val="2418112B"/>
    <w:rsid w:val="244948CE"/>
    <w:rsid w:val="24E05FB8"/>
    <w:rsid w:val="24FE3FC2"/>
    <w:rsid w:val="252872F8"/>
    <w:rsid w:val="257A44D8"/>
    <w:rsid w:val="259375EB"/>
    <w:rsid w:val="25B710A6"/>
    <w:rsid w:val="25C13236"/>
    <w:rsid w:val="25DB0972"/>
    <w:rsid w:val="276A3A3D"/>
    <w:rsid w:val="27DA1C5D"/>
    <w:rsid w:val="28450886"/>
    <w:rsid w:val="28DF231C"/>
    <w:rsid w:val="29174917"/>
    <w:rsid w:val="29267C0E"/>
    <w:rsid w:val="294D785F"/>
    <w:rsid w:val="29F914B6"/>
    <w:rsid w:val="2A64737C"/>
    <w:rsid w:val="2B005743"/>
    <w:rsid w:val="2B677600"/>
    <w:rsid w:val="2CB06E3C"/>
    <w:rsid w:val="2D05043C"/>
    <w:rsid w:val="2E6F4E4B"/>
    <w:rsid w:val="2F0665A0"/>
    <w:rsid w:val="2F5908CC"/>
    <w:rsid w:val="2F662FE9"/>
    <w:rsid w:val="301F7F79"/>
    <w:rsid w:val="30EA6FFB"/>
    <w:rsid w:val="31282CFE"/>
    <w:rsid w:val="32135F9E"/>
    <w:rsid w:val="32411CC1"/>
    <w:rsid w:val="32E77E20"/>
    <w:rsid w:val="3492112A"/>
    <w:rsid w:val="35310D72"/>
    <w:rsid w:val="359A2A31"/>
    <w:rsid w:val="368A2A22"/>
    <w:rsid w:val="36FA5AC3"/>
    <w:rsid w:val="37730FE9"/>
    <w:rsid w:val="378C09BB"/>
    <w:rsid w:val="380D6C88"/>
    <w:rsid w:val="38195999"/>
    <w:rsid w:val="39AD54BE"/>
    <w:rsid w:val="39E211B1"/>
    <w:rsid w:val="3A0E3D4F"/>
    <w:rsid w:val="3A922502"/>
    <w:rsid w:val="3AB03D52"/>
    <w:rsid w:val="3AB52645"/>
    <w:rsid w:val="3AFB37A4"/>
    <w:rsid w:val="3C690C27"/>
    <w:rsid w:val="3D0C5E9A"/>
    <w:rsid w:val="3D2476E8"/>
    <w:rsid w:val="3D4F61D7"/>
    <w:rsid w:val="3DF60179"/>
    <w:rsid w:val="3FB840D9"/>
    <w:rsid w:val="4066257D"/>
    <w:rsid w:val="412E5DB9"/>
    <w:rsid w:val="41917DF5"/>
    <w:rsid w:val="42A54AD1"/>
    <w:rsid w:val="446C4D82"/>
    <w:rsid w:val="452327CE"/>
    <w:rsid w:val="45305951"/>
    <w:rsid w:val="45911F46"/>
    <w:rsid w:val="45A4434C"/>
    <w:rsid w:val="45F77C7E"/>
    <w:rsid w:val="46365888"/>
    <w:rsid w:val="47281830"/>
    <w:rsid w:val="4741155C"/>
    <w:rsid w:val="482672CA"/>
    <w:rsid w:val="482A5DDC"/>
    <w:rsid w:val="489C44FE"/>
    <w:rsid w:val="49F95DBE"/>
    <w:rsid w:val="4AE543D9"/>
    <w:rsid w:val="4B6A1ED0"/>
    <w:rsid w:val="4C713B40"/>
    <w:rsid w:val="4DA0177C"/>
    <w:rsid w:val="4DFD0B0E"/>
    <w:rsid w:val="4E4E4D0F"/>
    <w:rsid w:val="4E825112"/>
    <w:rsid w:val="4E9C3E3B"/>
    <w:rsid w:val="4FB8695B"/>
    <w:rsid w:val="4FFE1F4D"/>
    <w:rsid w:val="5072058C"/>
    <w:rsid w:val="51676D8C"/>
    <w:rsid w:val="51D159C7"/>
    <w:rsid w:val="51D957DE"/>
    <w:rsid w:val="51F041C4"/>
    <w:rsid w:val="526E7701"/>
    <w:rsid w:val="53114F46"/>
    <w:rsid w:val="53B62828"/>
    <w:rsid w:val="542C63F0"/>
    <w:rsid w:val="544C0F12"/>
    <w:rsid w:val="54A13532"/>
    <w:rsid w:val="54F27277"/>
    <w:rsid w:val="54F90365"/>
    <w:rsid w:val="550A6296"/>
    <w:rsid w:val="550F1321"/>
    <w:rsid w:val="557409E4"/>
    <w:rsid w:val="55C25648"/>
    <w:rsid w:val="56755E91"/>
    <w:rsid w:val="56B41A12"/>
    <w:rsid w:val="580D17A6"/>
    <w:rsid w:val="58983719"/>
    <w:rsid w:val="5949744D"/>
    <w:rsid w:val="5A94636F"/>
    <w:rsid w:val="5A971E2D"/>
    <w:rsid w:val="5B6D191D"/>
    <w:rsid w:val="5C487E5C"/>
    <w:rsid w:val="5C912F45"/>
    <w:rsid w:val="5D456038"/>
    <w:rsid w:val="5DC14705"/>
    <w:rsid w:val="5EBA4635"/>
    <w:rsid w:val="5EBC1860"/>
    <w:rsid w:val="5F927321"/>
    <w:rsid w:val="609A76CB"/>
    <w:rsid w:val="61465DA5"/>
    <w:rsid w:val="615A6CDE"/>
    <w:rsid w:val="62063EB6"/>
    <w:rsid w:val="621C4923"/>
    <w:rsid w:val="626405CE"/>
    <w:rsid w:val="627914E1"/>
    <w:rsid w:val="629C3176"/>
    <w:rsid w:val="62FE51EA"/>
    <w:rsid w:val="64417177"/>
    <w:rsid w:val="64E36677"/>
    <w:rsid w:val="657D37FE"/>
    <w:rsid w:val="65AB4ECF"/>
    <w:rsid w:val="66A35E22"/>
    <w:rsid w:val="66A76B90"/>
    <w:rsid w:val="66BA264A"/>
    <w:rsid w:val="66DA7515"/>
    <w:rsid w:val="66F304D0"/>
    <w:rsid w:val="68296F29"/>
    <w:rsid w:val="683F43FC"/>
    <w:rsid w:val="692F0AA3"/>
    <w:rsid w:val="6953402D"/>
    <w:rsid w:val="6A2D06F7"/>
    <w:rsid w:val="6DAE1FDC"/>
    <w:rsid w:val="6E887AFC"/>
    <w:rsid w:val="700D3B7B"/>
    <w:rsid w:val="701C65EB"/>
    <w:rsid w:val="704F5106"/>
    <w:rsid w:val="70B10F0B"/>
    <w:rsid w:val="70F15583"/>
    <w:rsid w:val="71E70B3D"/>
    <w:rsid w:val="725930BF"/>
    <w:rsid w:val="72C9515D"/>
    <w:rsid w:val="75D42040"/>
    <w:rsid w:val="779A02F6"/>
    <w:rsid w:val="78EF2B4E"/>
    <w:rsid w:val="793A2951"/>
    <w:rsid w:val="7AAF5214"/>
    <w:rsid w:val="7B132A5C"/>
    <w:rsid w:val="7B1F0A95"/>
    <w:rsid w:val="7B2911BD"/>
    <w:rsid w:val="7BD45894"/>
    <w:rsid w:val="7C972499"/>
    <w:rsid w:val="7CE5477C"/>
    <w:rsid w:val="7DB66DBB"/>
    <w:rsid w:val="7DF24454"/>
    <w:rsid w:val="7F68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Balloon Text"/>
    <w:basedOn w:val="1"/>
    <w:link w:val="11"/>
    <w:semiHidden/>
    <w:unhideWhenUsed/>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UserStyle_0"/>
    <w:link w:val="10"/>
    <w:qFormat/>
    <w:uiPriority w:val="0"/>
    <w:pPr>
      <w:jc w:val="both"/>
    </w:pPr>
    <w:rPr>
      <w:rFonts w:ascii="Times New Roman" w:hAnsi="Times New Roman" w:eastAsia="仿宋_GB2312" w:cs="Times New Roman"/>
      <w:kern w:val="2"/>
      <w:sz w:val="24"/>
      <w:lang w:val="en-US" w:eastAsia="zh-CN" w:bidi="ar-SA"/>
    </w:rPr>
  </w:style>
  <w:style w:type="character" w:customStyle="1" w:styleId="10">
    <w:name w:val="NormalCharacter"/>
    <w:link w:val="9"/>
    <w:qFormat/>
    <w:uiPriority w:val="0"/>
    <w:rPr>
      <w:rFonts w:ascii="Times New Roman" w:hAnsi="Times New Roman" w:eastAsia="仿宋_GB2312" w:cs="Times New Roman"/>
      <w:kern w:val="2"/>
      <w:sz w:val="24"/>
      <w:lang w:val="en-US" w:eastAsia="zh-CN" w:bidi="ar-SA"/>
    </w:rPr>
  </w:style>
  <w:style w:type="character" w:customStyle="1" w:styleId="11">
    <w:name w:val="批注框文本 字符"/>
    <w:basedOn w:val="7"/>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334</Words>
  <Characters>1909</Characters>
  <Lines>15</Lines>
  <Paragraphs>4</Paragraphs>
  <TotalTime>61</TotalTime>
  <ScaleCrop>false</ScaleCrop>
  <LinksUpToDate>false</LinksUpToDate>
  <CharactersWithSpaces>2239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2020-07-03T01:05:00Z</dcterms:created>
  <dc:creator>user</dc:creator>
  <cp:lastModifiedBy>王瑾</cp:lastModifiedBy>
  <cp:lastPrinted>2019-09-18T07:46:00Z</cp:lastPrinted>
  <dcterms:modified xsi:type="dcterms:W3CDTF">2020-07-08T09:23:08Z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