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left"/>
        <w:rPr>
          <w:rFonts w:hint="default" w:ascii="黑体" w:hAnsi="黑体" w:eastAsia="黑体" w:cs="黑体"/>
          <w:sz w:val="32"/>
          <w:szCs w:val="32"/>
        </w:rPr>
      </w:pPr>
      <w:r>
        <w:rPr>
          <w:rFonts w:hint="default" w:ascii="黑体" w:hAnsi="黑体" w:eastAsia="黑体" w:cs="黑体"/>
          <w:sz w:val="32"/>
          <w:szCs w:val="32"/>
        </w:rPr>
        <w:t>附件</w:t>
      </w:r>
    </w:p>
    <w:p>
      <w:pPr>
        <w:pStyle w:val="2"/>
        <w:keepNext w:val="0"/>
        <w:keepLines w:val="0"/>
        <w:pageBreakBefore w:val="0"/>
        <w:kinsoku/>
        <w:wordWrap/>
        <w:overflowPunct/>
        <w:topLinePunct w:val="0"/>
        <w:autoSpaceDE/>
        <w:autoSpaceDN/>
        <w:bidi w:val="0"/>
        <w:spacing w:line="560" w:lineRule="exact"/>
        <w:rPr>
          <w:rFonts w:hint="default"/>
        </w:rPr>
      </w:pPr>
    </w:p>
    <w:p>
      <w:pPr>
        <w:keepNext w:val="0"/>
        <w:keepLines w:val="0"/>
        <w:pageBreakBefore w:val="0"/>
        <w:kinsoku/>
        <w:wordWrap/>
        <w:overflowPunct/>
        <w:topLinePunct w:val="0"/>
        <w:autoSpaceDE/>
        <w:autoSpaceDN/>
        <w:bidi w:val="0"/>
        <w:spacing w:line="560" w:lineRule="exact"/>
        <w:jc w:val="center"/>
        <w:rPr>
          <w:rFonts w:hint="default" w:ascii="方正小标宋简体" w:eastAsia="方正小标宋简体"/>
          <w:sz w:val="44"/>
          <w:szCs w:val="44"/>
        </w:rPr>
      </w:pPr>
      <w:r>
        <w:rPr>
          <w:rFonts w:hint="eastAsia" w:ascii="方正小标宋简体" w:eastAsia="方正小标宋简体"/>
          <w:sz w:val="44"/>
          <w:szCs w:val="44"/>
        </w:rPr>
        <w:t>深圳市商务局对外投资合作扶持计划</w:t>
      </w:r>
      <w:r>
        <w:rPr>
          <w:rFonts w:hint="default" w:ascii="方正小标宋简体" w:eastAsia="方正小标宋简体"/>
          <w:sz w:val="44"/>
          <w:szCs w:val="44"/>
        </w:rPr>
        <w:t>（阶段性支持商贸经济运行若干措施—</w:t>
      </w:r>
      <w:r>
        <w:rPr>
          <w:rFonts w:hint="eastAsia" w:ascii="方正小标宋简体" w:eastAsia="方正小标宋简体"/>
          <w:sz w:val="44"/>
          <w:szCs w:val="44"/>
        </w:rPr>
        <w:t>202</w:t>
      </w:r>
      <w:r>
        <w:rPr>
          <w:rFonts w:hint="default" w:ascii="方正小标宋简体" w:eastAsia="方正小标宋简体"/>
          <w:sz w:val="44"/>
          <w:szCs w:val="44"/>
        </w:rPr>
        <w:t>3</w:t>
      </w:r>
      <w:r>
        <w:rPr>
          <w:rFonts w:hint="eastAsia" w:ascii="方正小标宋简体" w:eastAsia="方正小标宋简体"/>
          <w:sz w:val="44"/>
          <w:szCs w:val="44"/>
        </w:rPr>
        <w:t>年</w:t>
      </w:r>
      <w:r>
        <w:rPr>
          <w:rFonts w:hint="default" w:ascii="方正小标宋简体" w:eastAsia="方正小标宋简体"/>
          <w:sz w:val="44"/>
          <w:szCs w:val="44"/>
        </w:rPr>
        <w:t>1-6月</w:t>
      </w:r>
    </w:p>
    <w:p>
      <w:pPr>
        <w:keepNext w:val="0"/>
        <w:keepLines w:val="0"/>
        <w:pageBreakBefore w:val="0"/>
        <w:kinsoku/>
        <w:wordWrap/>
        <w:overflowPunct/>
        <w:topLinePunct w:val="0"/>
        <w:autoSpaceDE/>
        <w:autoSpaceDN/>
        <w:bidi w:val="0"/>
        <w:spacing w:line="560" w:lineRule="exact"/>
        <w:jc w:val="center"/>
        <w:rPr>
          <w:rFonts w:hint="default" w:ascii="方正小标宋简体" w:eastAsia="方正小标宋简体"/>
          <w:sz w:val="44"/>
          <w:szCs w:val="44"/>
        </w:rPr>
      </w:pPr>
      <w:r>
        <w:rPr>
          <w:rFonts w:hint="eastAsia" w:ascii="方正小标宋简体" w:eastAsia="方正小标宋简体"/>
          <w:sz w:val="44"/>
          <w:szCs w:val="44"/>
        </w:rPr>
        <w:t>境外展览重点支持项目</w:t>
      </w:r>
      <w:r>
        <w:rPr>
          <w:rFonts w:ascii="方正小标宋简体" w:eastAsia="方正小标宋简体"/>
          <w:sz w:val="44"/>
          <w:szCs w:val="44"/>
        </w:rPr>
        <w:t>资助事项</w:t>
      </w:r>
      <w:r>
        <w:rPr>
          <w:rFonts w:hint="default" w:ascii="方正小标宋简体" w:eastAsia="方正小标宋简体"/>
          <w:sz w:val="44"/>
          <w:szCs w:val="44"/>
        </w:rPr>
        <w:t>）</w:t>
      </w:r>
    </w:p>
    <w:p>
      <w:pPr>
        <w:keepNext w:val="0"/>
        <w:keepLines w:val="0"/>
        <w:pageBreakBefore w:val="0"/>
        <w:kinsoku/>
        <w:wordWrap/>
        <w:overflowPunct/>
        <w:topLinePunct w:val="0"/>
        <w:autoSpaceDE/>
        <w:autoSpaceDN/>
        <w:bidi w:val="0"/>
        <w:spacing w:line="560" w:lineRule="exact"/>
        <w:jc w:val="center"/>
        <w:rPr>
          <w:rFonts w:ascii="方正小标宋简体" w:eastAsia="方正小标宋简体"/>
          <w:sz w:val="44"/>
          <w:szCs w:val="44"/>
        </w:rPr>
      </w:pPr>
      <w:r>
        <w:rPr>
          <w:rFonts w:ascii="方正小标宋简体" w:eastAsia="方正小标宋简体"/>
          <w:sz w:val="44"/>
          <w:szCs w:val="44"/>
        </w:rPr>
        <w:t>申报</w:t>
      </w:r>
      <w:r>
        <w:rPr>
          <w:rFonts w:hint="eastAsia" w:ascii="方正小标宋简体" w:eastAsia="方正小标宋简体"/>
          <w:sz w:val="44"/>
          <w:szCs w:val="44"/>
        </w:rPr>
        <w:t>指南</w:t>
      </w:r>
    </w:p>
    <w:p>
      <w:pPr>
        <w:keepNext w:val="0"/>
        <w:keepLines w:val="0"/>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wordWrap/>
        <w:overflowPunct/>
        <w:topLinePunct w:val="0"/>
        <w:autoSpaceDE/>
        <w:autoSpaceDN/>
        <w:bidi w:val="0"/>
        <w:spacing w:line="560" w:lineRule="exact"/>
        <w:ind w:firstLine="640" w:firstLineChars="200"/>
        <w:rPr>
          <w:rFonts w:ascii="黑体" w:hAnsi="黑体" w:eastAsia="黑体"/>
          <w:sz w:val="32"/>
          <w:szCs w:val="32"/>
        </w:rPr>
      </w:pPr>
      <w:r>
        <w:rPr>
          <w:rFonts w:hint="eastAsia" w:ascii="黑体" w:hAnsi="黑体" w:eastAsia="黑体"/>
          <w:sz w:val="32"/>
          <w:szCs w:val="32"/>
        </w:rPr>
        <w:t>一、支持领域</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等线" w:eastAsia="仿宋_GB2312" w:cs="Times New Roman"/>
          <w:sz w:val="32"/>
          <w:szCs w:val="32"/>
        </w:rPr>
      </w:pPr>
      <w:r>
        <w:rPr>
          <w:rFonts w:hint="eastAsia" w:ascii="仿宋_GB2312" w:eastAsia="仿宋_GB2312"/>
          <w:sz w:val="32"/>
          <w:szCs w:val="32"/>
        </w:rPr>
        <w:t>对2023年1-6月境外展览重点支持项目予以资助。2023年1-6月境外展览重点支持项目是指列入深圳市商务局202</w:t>
      </w:r>
      <w:r>
        <w:rPr>
          <w:rFonts w:hint="default" w:ascii="仿宋_GB2312" w:eastAsia="仿宋_GB2312"/>
          <w:sz w:val="32"/>
          <w:szCs w:val="32"/>
        </w:rPr>
        <w:t>3</w:t>
      </w:r>
      <w:r>
        <w:rPr>
          <w:rFonts w:hint="eastAsia" w:ascii="仿宋_GB2312" w:eastAsia="仿宋_GB2312"/>
          <w:sz w:val="32"/>
          <w:szCs w:val="32"/>
        </w:rPr>
        <w:t>年境外展览重点支持项目计划</w:t>
      </w:r>
      <w:r>
        <w:rPr>
          <w:rFonts w:hint="default" w:ascii="仿宋_GB2312" w:hAnsi="仿宋_GB2312" w:eastAsia="仿宋_GB2312" w:cs="仿宋_GB2312"/>
          <w:sz w:val="32"/>
          <w:szCs w:val="32"/>
        </w:rPr>
        <w:t>且实际举办时间在2023年1月1日—2023年6月30日期间</w:t>
      </w:r>
      <w:r>
        <w:rPr>
          <w:rFonts w:hint="eastAsia" w:ascii="仿宋_GB2312" w:eastAsia="仿宋_GB2312"/>
          <w:sz w:val="32"/>
          <w:szCs w:val="32"/>
        </w:rPr>
        <w:t>的展览项目。支持组展单位组织企业参加境外展览重点支持项目，</w:t>
      </w:r>
      <w:r>
        <w:rPr>
          <w:rFonts w:ascii="仿宋_GB2312" w:eastAsia="仿宋_GB2312"/>
          <w:sz w:val="32"/>
          <w:szCs w:val="32"/>
        </w:rPr>
        <w:t>鼓励重点企业</w:t>
      </w:r>
      <w:r>
        <w:rPr>
          <w:rFonts w:hint="eastAsia" w:ascii="仿宋_GB2312" w:eastAsia="仿宋_GB2312"/>
          <w:sz w:val="32"/>
          <w:szCs w:val="32"/>
        </w:rPr>
        <w:t>“走出去”，</w:t>
      </w:r>
      <w:r>
        <w:rPr>
          <w:rFonts w:ascii="仿宋_GB2312" w:eastAsia="仿宋_GB2312"/>
          <w:sz w:val="32"/>
          <w:szCs w:val="32"/>
        </w:rPr>
        <w:t>加强深圳优质产品</w:t>
      </w:r>
      <w:r>
        <w:rPr>
          <w:rFonts w:hint="eastAsia" w:ascii="仿宋_GB2312" w:hAnsi="等线" w:eastAsia="仿宋_GB2312" w:cs="Times New Roman"/>
          <w:sz w:val="32"/>
          <w:szCs w:val="32"/>
        </w:rPr>
        <w:t>推介。</w:t>
      </w:r>
    </w:p>
    <w:p>
      <w:pPr>
        <w:spacing w:line="560" w:lineRule="exact"/>
        <w:ind w:firstLine="640"/>
        <w:rPr>
          <w:rFonts w:hint="eastAsia" w:ascii="仿宋_GB2312" w:hAnsi="等线" w:eastAsia="仿宋_GB2312" w:cs="Times New Roman"/>
          <w:spacing w:val="0"/>
          <w:sz w:val="32"/>
          <w:szCs w:val="32"/>
        </w:rPr>
      </w:pPr>
      <w:r>
        <w:rPr>
          <w:rFonts w:hint="eastAsia" w:ascii="仿宋_GB2312" w:hAnsi="等线" w:eastAsia="仿宋_GB2312" w:cs="Times New Roman"/>
          <w:spacing w:val="0"/>
          <w:sz w:val="32"/>
          <w:szCs w:val="32"/>
        </w:rPr>
        <w:t>支持企业上半年参加重点境外展览，市级财政按现行政策对组展和展位实际支出费用补贴，各区按市级支出的50%给予配套支持。</w:t>
      </w:r>
    </w:p>
    <w:p>
      <w:pPr>
        <w:keepNext w:val="0"/>
        <w:keepLines w:val="0"/>
        <w:pageBreakBefore w:val="0"/>
        <w:kinsoku/>
        <w:wordWrap/>
        <w:overflowPunct/>
        <w:topLinePunct w:val="0"/>
        <w:autoSpaceDE/>
        <w:autoSpaceDN/>
        <w:bidi w:val="0"/>
        <w:spacing w:line="560" w:lineRule="exact"/>
        <w:ind w:firstLine="640" w:firstLineChars="200"/>
        <w:rPr>
          <w:rFonts w:ascii="黑体" w:hAnsi="黑体" w:eastAsia="黑体"/>
          <w:sz w:val="32"/>
          <w:szCs w:val="32"/>
        </w:rPr>
      </w:pPr>
      <w:r>
        <w:rPr>
          <w:rFonts w:hint="eastAsia" w:ascii="黑体" w:hAnsi="黑体" w:eastAsia="黑体"/>
          <w:sz w:val="32"/>
          <w:szCs w:val="32"/>
        </w:rPr>
        <w:t>二、设定依据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（一）政策依据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深圳市关于推动对外投资合作高质量发展的若干措施</w:t>
      </w:r>
      <w:r>
        <w:rPr>
          <w:rFonts w:ascii="仿宋_GB2312" w:hAnsi="仿宋_GB2312" w:eastAsia="仿宋_GB2312" w:cs="仿宋_GB2312"/>
          <w:color w:val="auto"/>
          <w:sz w:val="32"/>
          <w:szCs w:val="32"/>
        </w:rPr>
        <w:t>》（深</w:t>
      </w:r>
      <w:r>
        <w:rPr>
          <w:rFonts w:hint="eastAsia" w:ascii="仿宋_GB2312" w:hAnsi="仿宋_GB2312" w:eastAsia="仿宋_GB2312" w:cs="仿宋_GB2312"/>
          <w:color w:val="auto"/>
          <w:sz w:val="32"/>
          <w:szCs w:val="32"/>
          <w:lang w:eastAsia="zh-CN"/>
        </w:rPr>
        <w:t>商务合作字</w:t>
      </w:r>
      <w:r>
        <w:rPr>
          <w:rFonts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37</w:t>
      </w:r>
      <w:r>
        <w:rPr>
          <w:rFonts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关于阶段性稳经济运行若干措施</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深发改〔2023〕38号</w:t>
      </w:r>
      <w:r>
        <w:rPr>
          <w:rFonts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3.</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深圳市商务局</w:t>
      </w:r>
      <w:r>
        <w:rPr>
          <w:rFonts w:hint="eastAsia" w:ascii="仿宋_GB2312" w:hAnsi="仿宋_GB2312" w:eastAsia="仿宋_GB2312" w:cs="仿宋_GB2312"/>
          <w:color w:val="auto"/>
          <w:sz w:val="32"/>
          <w:szCs w:val="32"/>
          <w:lang w:val="en-US" w:eastAsia="zh-CN"/>
        </w:rPr>
        <w:t>&lt;</w:t>
      </w:r>
      <w:r>
        <w:rPr>
          <w:rFonts w:hint="eastAsia" w:ascii="仿宋_GB2312" w:hAnsi="仿宋_GB2312" w:eastAsia="仿宋_GB2312" w:cs="仿宋_GB2312"/>
          <w:color w:val="auto"/>
          <w:sz w:val="32"/>
          <w:szCs w:val="32"/>
        </w:rPr>
        <w:t>关于推动对外投资合作高质量发展扶持计划的若干措施</w:t>
      </w:r>
      <w:r>
        <w:rPr>
          <w:rFonts w:hint="eastAsia" w:ascii="仿宋_GB2312" w:hAnsi="仿宋_GB2312" w:eastAsia="仿宋_GB2312" w:cs="仿宋_GB2312"/>
          <w:color w:val="auto"/>
          <w:sz w:val="32"/>
          <w:szCs w:val="32"/>
          <w:lang w:val="en-US" w:eastAsia="zh-CN"/>
        </w:rPr>
        <w:t>&gt;</w:t>
      </w:r>
      <w:r>
        <w:rPr>
          <w:rFonts w:hint="eastAsia" w:ascii="仿宋_GB2312" w:hAnsi="仿宋_GB2312" w:eastAsia="仿宋_GB2312" w:cs="仿宋_GB2312"/>
          <w:color w:val="auto"/>
          <w:sz w:val="32"/>
          <w:szCs w:val="32"/>
        </w:rPr>
        <w:t>实施细则</w:t>
      </w:r>
      <w:r>
        <w:rPr>
          <w:rFonts w:ascii="仿宋_GB2312" w:hAnsi="仿宋_GB2312" w:eastAsia="仿宋_GB2312" w:cs="仿宋_GB2312"/>
          <w:color w:val="auto"/>
          <w:sz w:val="32"/>
          <w:szCs w:val="32"/>
        </w:rPr>
        <w:t>》（深</w:t>
      </w:r>
      <w:r>
        <w:rPr>
          <w:rFonts w:hint="eastAsia" w:ascii="仿宋_GB2312" w:hAnsi="仿宋_GB2312" w:eastAsia="仿宋_GB2312" w:cs="仿宋_GB2312"/>
          <w:color w:val="auto"/>
          <w:sz w:val="32"/>
          <w:szCs w:val="32"/>
          <w:lang w:eastAsia="zh-CN"/>
        </w:rPr>
        <w:t>商务规</w:t>
      </w:r>
      <w:r>
        <w:rPr>
          <w:rFonts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8</w:t>
      </w:r>
      <w:r>
        <w:rPr>
          <w:rFonts w:ascii="仿宋_GB2312" w:hAnsi="仿宋_GB2312" w:eastAsia="仿宋_GB2312" w:cs="仿宋_GB2312"/>
          <w:color w:val="auto"/>
          <w:sz w:val="32"/>
          <w:szCs w:val="32"/>
        </w:rPr>
        <w:t>号）。</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（二）管理依据</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《深圳市商务发展专项资金管理办法》（深商务</w:t>
      </w:r>
      <w:r>
        <w:rPr>
          <w:rFonts w:hint="eastAsia" w:ascii="仿宋_GB2312" w:hAnsi="仿宋_GB2312" w:eastAsia="仿宋_GB2312" w:cs="仿宋_GB2312"/>
          <w:color w:val="auto"/>
          <w:sz w:val="32"/>
          <w:szCs w:val="32"/>
        </w:rPr>
        <w:t>规〔</w:t>
      </w:r>
      <w:r>
        <w:rPr>
          <w:rFonts w:ascii="仿宋_GB2312" w:hAnsi="仿宋_GB2312" w:eastAsia="仿宋_GB2312" w:cs="仿宋_GB2312"/>
          <w:color w:val="auto"/>
          <w:sz w:val="32"/>
          <w:szCs w:val="32"/>
        </w:rPr>
        <w:t>2020〕2号）。</w:t>
      </w:r>
    </w:p>
    <w:p>
      <w:pPr>
        <w:keepNext w:val="0"/>
        <w:keepLines w:val="0"/>
        <w:pageBreakBefore w:val="0"/>
        <w:kinsoku/>
        <w:wordWrap/>
        <w:overflowPunct/>
        <w:topLinePunct w:val="0"/>
        <w:autoSpaceDE/>
        <w:autoSpaceDN/>
        <w:bidi w:val="0"/>
        <w:spacing w:line="560" w:lineRule="exact"/>
        <w:ind w:firstLine="640" w:firstLineChars="200"/>
        <w:rPr>
          <w:rFonts w:ascii="黑体" w:hAnsi="黑体" w:eastAsia="黑体"/>
          <w:sz w:val="32"/>
          <w:szCs w:val="32"/>
        </w:rPr>
      </w:pPr>
      <w:r>
        <w:rPr>
          <w:rFonts w:hint="eastAsia" w:ascii="黑体" w:hAnsi="黑体" w:eastAsia="黑体"/>
          <w:sz w:val="32"/>
          <w:szCs w:val="32"/>
        </w:rPr>
        <w:t>三、支持数量和资助方式</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（一）支持数量</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有数量限制，受</w:t>
      </w:r>
      <w:r>
        <w:rPr>
          <w:rFonts w:hint="eastAsia" w:ascii="仿宋_GB2312" w:eastAsia="仿宋_GB2312"/>
          <w:sz w:val="32"/>
          <w:szCs w:val="32"/>
        </w:rPr>
        <w:t>年度资金预算控制</w:t>
      </w:r>
      <w:r>
        <w:rPr>
          <w:rFonts w:hint="default" w:ascii="仿宋_GB2312" w:eastAsia="仿宋_GB2312"/>
          <w:sz w:val="32"/>
          <w:szCs w:val="32"/>
        </w:rPr>
        <w:t>，</w:t>
      </w:r>
      <w:r>
        <w:rPr>
          <w:rFonts w:hint="eastAsia" w:ascii="仿宋_GB2312" w:hAnsi="宋体" w:eastAsia="仿宋_GB2312" w:cs="宋体"/>
          <w:kern w:val="0"/>
          <w:sz w:val="32"/>
          <w:szCs w:val="32"/>
        </w:rPr>
        <w:t>视申报情况和预算安排，我局据以对资助金额、支持比例和拨付进度等进行统一调整，</w:t>
      </w:r>
      <w:r>
        <w:rPr>
          <w:rFonts w:hint="eastAsia" w:ascii="仿宋_GB2312" w:hAnsi="仿宋_GB2312" w:eastAsia="仿宋_GB2312" w:cs="仿宋_GB2312"/>
          <w:sz w:val="32"/>
          <w:szCs w:val="32"/>
        </w:rPr>
        <w:t>资助金额以万元为单位按照舍尾法确定。</w:t>
      </w:r>
      <w:r>
        <w:rPr>
          <w:rFonts w:hint="eastAsia" w:ascii="仿宋_GB2312" w:hAnsi="宋体" w:eastAsia="仿宋_GB2312" w:cs="宋体"/>
          <w:kern w:val="0"/>
          <w:sz w:val="32"/>
          <w:szCs w:val="32"/>
        </w:rPr>
        <w:t>项目申请单位应无条件同意调整结果。</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（二）资助方式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事后资助</w:t>
      </w:r>
      <w:r>
        <w:rPr>
          <w:rFonts w:hint="eastAsia" w:ascii="仿宋_GB2312" w:hAnsi="宋体" w:eastAsia="仿宋_GB2312" w:cs="宋体"/>
          <w:kern w:val="0"/>
          <w:sz w:val="32"/>
          <w:szCs w:val="32"/>
        </w:rPr>
        <w:t>。资助拨款按照申</w:t>
      </w:r>
      <w:r>
        <w:rPr>
          <w:rFonts w:hint="default" w:ascii="仿宋_GB2312" w:hAnsi="宋体" w:eastAsia="仿宋_GB2312" w:cs="宋体"/>
          <w:kern w:val="0"/>
          <w:sz w:val="32"/>
          <w:szCs w:val="32"/>
        </w:rPr>
        <w:t>报</w:t>
      </w:r>
      <w:r>
        <w:rPr>
          <w:rFonts w:hint="eastAsia" w:ascii="仿宋_GB2312" w:hAnsi="宋体" w:eastAsia="仿宋_GB2312" w:cs="宋体"/>
          <w:kern w:val="0"/>
          <w:sz w:val="32"/>
          <w:szCs w:val="32"/>
        </w:rPr>
        <w:t>材料中的银行账户信息办理。因申请单位名称变化、账户信息更改或填写错误等原因导致拨款不成功的，原则上予以办理一次拨款信息更改并再次拨款。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rPr>
          <w:rFonts w:ascii="仿宋_GB2312" w:hAnsi="宋体" w:eastAsia="仿宋_GB2312" w:cs="宋体"/>
          <w:kern w:val="0"/>
          <w:sz w:val="32"/>
          <w:szCs w:val="32"/>
        </w:rPr>
      </w:pPr>
      <w:r>
        <w:rPr>
          <w:rFonts w:ascii="仿宋_GB2312" w:eastAsia="仿宋_GB2312"/>
          <w:sz w:val="32"/>
          <w:szCs w:val="32"/>
        </w:rPr>
        <w:t>境外展览重点支持项目由</w:t>
      </w:r>
      <w:r>
        <w:rPr>
          <w:rFonts w:hint="eastAsia" w:ascii="仿宋_GB2312" w:eastAsia="仿宋_GB2312"/>
          <w:sz w:val="32"/>
          <w:szCs w:val="32"/>
        </w:rPr>
        <w:t>组展</w:t>
      </w:r>
      <w:r>
        <w:rPr>
          <w:rFonts w:ascii="仿宋_GB2312" w:eastAsia="仿宋_GB2312"/>
          <w:sz w:val="32"/>
          <w:szCs w:val="32"/>
        </w:rPr>
        <w:t>单位</w:t>
      </w:r>
      <w:r>
        <w:rPr>
          <w:rFonts w:hint="default" w:ascii="仿宋_GB2312" w:hAnsi="宋体" w:eastAsia="仿宋_GB2312" w:cs="宋体"/>
          <w:kern w:val="0"/>
          <w:sz w:val="32"/>
          <w:szCs w:val="32"/>
        </w:rPr>
        <w:t>统一申报或由</w:t>
      </w:r>
      <w:r>
        <w:rPr>
          <w:rFonts w:hint="eastAsia" w:ascii="仿宋_GB2312" w:eastAsia="仿宋_GB2312"/>
          <w:sz w:val="32"/>
          <w:szCs w:val="32"/>
        </w:rPr>
        <w:t>境外展览重点参展企业</w:t>
      </w:r>
      <w:r>
        <w:rPr>
          <w:rFonts w:hint="default" w:ascii="仿宋_GB2312" w:eastAsia="仿宋_GB2312"/>
          <w:sz w:val="32"/>
          <w:szCs w:val="32"/>
        </w:rPr>
        <w:t>自行申报。</w:t>
      </w:r>
    </w:p>
    <w:p>
      <w:pPr>
        <w:keepNext w:val="0"/>
        <w:keepLines w:val="0"/>
        <w:pageBreakBefore w:val="0"/>
        <w:widowControl/>
        <w:numPr>
          <w:ilvl w:val="0"/>
          <w:numId w:val="1"/>
        </w:numPr>
        <w:shd w:val="clear" w:color="auto" w:fill="FFFFFF"/>
        <w:kinsoku/>
        <w:wordWrap/>
        <w:overflowPunct/>
        <w:topLinePunct w:val="0"/>
        <w:autoSpaceDE/>
        <w:autoSpaceDN/>
        <w:bidi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申报条件</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（一）基础条件</w:t>
      </w:r>
    </w:p>
    <w:p>
      <w:pPr>
        <w:keepNext w:val="0"/>
        <w:keepLines w:val="0"/>
        <w:pageBreakBefore w:val="0"/>
        <w:kinsoku/>
        <w:wordWrap/>
        <w:overflowPunct/>
        <w:topLinePunct w:val="0"/>
        <w:autoSpaceDE/>
        <w:autoSpaceDN/>
        <w:bidi w:val="0"/>
        <w:spacing w:line="560" w:lineRule="exact"/>
        <w:ind w:firstLine="640" w:firstLineChars="200"/>
        <w:rPr>
          <w:rFonts w:hint="default" w:ascii="仿宋_GB2312" w:hAnsi="宋体" w:eastAsia="仿宋_GB2312" w:cs="宋体"/>
          <w:kern w:val="0"/>
          <w:sz w:val="32"/>
          <w:szCs w:val="32"/>
        </w:rPr>
      </w:pPr>
      <w:r>
        <w:rPr>
          <w:rFonts w:hint="eastAsia" w:ascii="仿宋_GB2312" w:hAnsi="宋体" w:eastAsia="仿宋_GB2312" w:cs="宋体"/>
          <w:kern w:val="0"/>
          <w:sz w:val="32"/>
          <w:szCs w:val="32"/>
        </w:rPr>
        <w:t>1.</w:t>
      </w:r>
      <w:r>
        <w:rPr>
          <w:rFonts w:hint="eastAsia" w:ascii="仿宋_GB2312" w:eastAsia="仿宋_GB2312"/>
          <w:sz w:val="32"/>
          <w:szCs w:val="32"/>
        </w:rPr>
        <w:t>申报</w:t>
      </w:r>
      <w:r>
        <w:rPr>
          <w:rFonts w:ascii="仿宋_GB2312" w:eastAsia="仿宋_GB2312"/>
          <w:sz w:val="32"/>
          <w:szCs w:val="32"/>
        </w:rPr>
        <w:t>主体为在深圳市（</w:t>
      </w:r>
      <w:r>
        <w:rPr>
          <w:rFonts w:hint="eastAsia" w:ascii="仿宋_GB2312" w:eastAsia="仿宋_GB2312"/>
          <w:sz w:val="32"/>
          <w:szCs w:val="32"/>
        </w:rPr>
        <w:t>含深</w:t>
      </w:r>
      <w:r>
        <w:rPr>
          <w:rFonts w:ascii="仿宋_GB2312" w:eastAsia="仿宋_GB2312"/>
          <w:sz w:val="32"/>
          <w:szCs w:val="32"/>
        </w:rPr>
        <w:t>汕特别合作区）</w:t>
      </w:r>
      <w:r>
        <w:rPr>
          <w:rFonts w:hint="eastAsia" w:ascii="仿宋_GB2312" w:eastAsia="仿宋_GB2312"/>
          <w:sz w:val="32"/>
          <w:szCs w:val="32"/>
        </w:rPr>
        <w:t>依法</w:t>
      </w:r>
      <w:r>
        <w:rPr>
          <w:rFonts w:ascii="仿宋_GB2312" w:eastAsia="仿宋_GB2312"/>
          <w:sz w:val="32"/>
          <w:szCs w:val="32"/>
        </w:rPr>
        <w:t>登记</w:t>
      </w:r>
      <w:r>
        <w:rPr>
          <w:rFonts w:hint="eastAsia" w:ascii="仿宋_GB2312" w:eastAsia="仿宋_GB2312"/>
          <w:sz w:val="32"/>
          <w:szCs w:val="32"/>
        </w:rPr>
        <w:t>、具有独立法人资格的</w:t>
      </w:r>
      <w:r>
        <w:rPr>
          <w:rFonts w:ascii="仿宋_GB2312" w:eastAsia="仿宋_GB2312"/>
          <w:sz w:val="32"/>
          <w:szCs w:val="32"/>
        </w:rPr>
        <w:t>企业</w:t>
      </w:r>
      <w:r>
        <w:rPr>
          <w:rFonts w:hint="eastAsia" w:ascii="仿宋_GB2312" w:eastAsia="仿宋_GB2312"/>
          <w:sz w:val="32"/>
          <w:szCs w:val="32"/>
        </w:rPr>
        <w:t>、事业单位和社会组织</w:t>
      </w:r>
      <w:r>
        <w:rPr>
          <w:rFonts w:hint="default" w:ascii="仿宋_GB2312" w:hAnsi="宋体" w:eastAsia="仿宋_GB2312" w:cs="宋体"/>
          <w:kern w:val="0"/>
          <w:sz w:val="32"/>
          <w:szCs w:val="32"/>
        </w:rPr>
        <w:t>。</w:t>
      </w:r>
    </w:p>
    <w:p>
      <w:pPr>
        <w:keepNext w:val="0"/>
        <w:keepLines w:val="0"/>
        <w:pageBreakBefore w:val="0"/>
        <w:kinsoku/>
        <w:wordWrap/>
        <w:overflowPunct/>
        <w:topLinePunct w:val="0"/>
        <w:autoSpaceDE/>
        <w:autoSpaceDN/>
        <w:bidi w:val="0"/>
        <w:spacing w:line="560" w:lineRule="exact"/>
        <w:ind w:firstLine="640" w:firstLineChars="200"/>
        <w:rPr>
          <w:rFonts w:hint="default" w:ascii="仿宋_GB2312" w:hAnsi="宋体" w:eastAsia="仿宋_GB2312" w:cs="宋体"/>
          <w:kern w:val="0"/>
          <w:sz w:val="32"/>
          <w:szCs w:val="32"/>
        </w:rPr>
      </w:pPr>
      <w:r>
        <w:rPr>
          <w:rFonts w:hint="eastAsia" w:ascii="仿宋_GB2312" w:hAnsi="宋体" w:eastAsia="仿宋_GB2312" w:cs="宋体"/>
          <w:kern w:val="0"/>
          <w:sz w:val="32"/>
          <w:szCs w:val="32"/>
        </w:rPr>
        <w:t>2.</w:t>
      </w:r>
      <w:r>
        <w:rPr>
          <w:rFonts w:hint="eastAsia" w:ascii="仿宋_GB2312" w:eastAsia="仿宋_GB2312"/>
          <w:sz w:val="32"/>
          <w:szCs w:val="32"/>
        </w:rPr>
        <w:t>申报主体未被国家、省、市有关部门列入严重失信主体名单实施失信惩戒，明确限制申请财政性资金项目，且在限制期内</w:t>
      </w:r>
      <w:r>
        <w:rPr>
          <w:rFonts w:hint="default" w:ascii="仿宋_GB2312" w:hAnsi="宋体" w:eastAsia="仿宋_GB2312" w:cs="宋体"/>
          <w:kern w:val="0"/>
          <w:sz w:val="32"/>
          <w:szCs w:val="32"/>
        </w:rPr>
        <w:t>。</w:t>
      </w:r>
    </w:p>
    <w:p>
      <w:pPr>
        <w:keepNext w:val="0"/>
        <w:keepLines w:val="0"/>
        <w:pageBreakBefore w:val="0"/>
        <w:kinsoku/>
        <w:wordWrap/>
        <w:overflowPunct/>
        <w:topLinePunct w:val="0"/>
        <w:autoSpaceDE/>
        <w:autoSpaceDN/>
        <w:bidi w:val="0"/>
        <w:spacing w:line="560" w:lineRule="exact"/>
        <w:ind w:firstLine="640" w:firstLineChars="200"/>
        <w:rPr>
          <w:rFonts w:hint="default" w:ascii="仿宋_GB2312" w:hAnsi="宋体" w:eastAsia="仿宋_GB2312" w:cs="宋体"/>
          <w:kern w:val="0"/>
          <w:sz w:val="32"/>
          <w:szCs w:val="32"/>
        </w:rPr>
      </w:pPr>
      <w:r>
        <w:rPr>
          <w:rFonts w:hint="eastAsia" w:ascii="仿宋_GB2312" w:hAnsi="宋体" w:eastAsia="仿宋_GB2312" w:cs="宋体"/>
          <w:kern w:val="0"/>
          <w:sz w:val="32"/>
          <w:szCs w:val="32"/>
        </w:rPr>
        <w:t>3.</w:t>
      </w:r>
      <w:r>
        <w:rPr>
          <w:rFonts w:hint="eastAsia" w:ascii="仿宋_GB2312" w:eastAsia="仿宋_GB2312"/>
          <w:sz w:val="32"/>
          <w:szCs w:val="32"/>
        </w:rPr>
        <w:t>申报主体应当</w:t>
      </w:r>
      <w:r>
        <w:rPr>
          <w:rFonts w:ascii="仿宋_GB2312" w:eastAsia="仿宋_GB2312"/>
          <w:sz w:val="32"/>
          <w:szCs w:val="32"/>
        </w:rPr>
        <w:t>对申报材料的真实性、合法性、完整性负责，</w:t>
      </w:r>
      <w:r>
        <w:rPr>
          <w:rFonts w:hint="eastAsia" w:ascii="仿宋_GB2312" w:eastAsia="仿宋_GB2312"/>
          <w:sz w:val="32"/>
          <w:szCs w:val="32"/>
        </w:rPr>
        <w:t>应</w:t>
      </w:r>
      <w:r>
        <w:rPr>
          <w:rFonts w:ascii="仿宋_GB2312" w:eastAsia="仿宋_GB2312"/>
          <w:sz w:val="32"/>
          <w:szCs w:val="32"/>
        </w:rPr>
        <w:t>如实提供本单位信用状况，</w:t>
      </w:r>
      <w:r>
        <w:rPr>
          <w:rFonts w:hint="eastAsia" w:ascii="仿宋_GB2312" w:eastAsia="仿宋_GB2312"/>
          <w:sz w:val="32"/>
          <w:szCs w:val="32"/>
        </w:rPr>
        <w:t>承诺</w:t>
      </w:r>
      <w:r>
        <w:rPr>
          <w:rFonts w:ascii="仿宋_GB2312" w:eastAsia="仿宋_GB2312"/>
          <w:sz w:val="32"/>
          <w:szCs w:val="32"/>
        </w:rPr>
        <w:t>承担违约责任，不得弄虚作假、套取骗取专项资金</w:t>
      </w:r>
      <w:r>
        <w:rPr>
          <w:rFonts w:hint="default" w:ascii="仿宋_GB2312" w:hAnsi="宋体" w:eastAsia="仿宋_GB2312" w:cs="宋体"/>
          <w:kern w:val="0"/>
          <w:sz w:val="32"/>
          <w:szCs w:val="32"/>
        </w:rPr>
        <w:t>。</w:t>
      </w:r>
    </w:p>
    <w:p>
      <w:pPr>
        <w:keepNext w:val="0"/>
        <w:keepLines w:val="0"/>
        <w:pageBreakBefore w:val="0"/>
        <w:kinsoku/>
        <w:wordWrap/>
        <w:overflowPunct/>
        <w:topLinePunct w:val="0"/>
        <w:autoSpaceDE/>
        <w:autoSpaceDN/>
        <w:bidi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4.申报主体不得以同一事项重复或多头申报市级专项资金。</w:t>
      </w:r>
    </w:p>
    <w:p>
      <w:pPr>
        <w:keepNext w:val="0"/>
        <w:keepLines w:val="0"/>
        <w:pageBreakBefore w:val="0"/>
        <w:kinsoku/>
        <w:wordWrap/>
        <w:overflowPunct/>
        <w:topLinePunct w:val="0"/>
        <w:autoSpaceDE/>
        <w:autoSpaceDN/>
        <w:bidi w:val="0"/>
        <w:spacing w:line="560" w:lineRule="exact"/>
        <w:ind w:firstLine="640" w:firstLineChars="200"/>
        <w:rPr>
          <w:rFonts w:ascii="仿宋_GB2312" w:eastAsia="仿宋_GB2312"/>
          <w:bCs/>
          <w:sz w:val="32"/>
          <w:szCs w:val="32"/>
        </w:rPr>
      </w:pPr>
      <w:r>
        <w:rPr>
          <w:rFonts w:hint="eastAsia" w:ascii="楷体_GB2312" w:hAnsi="楷体_GB2312" w:eastAsia="楷体_GB2312" w:cs="楷体_GB2312"/>
          <w:bCs/>
          <w:sz w:val="32"/>
          <w:szCs w:val="32"/>
        </w:rPr>
        <w:t>（二）专项条件</w:t>
      </w:r>
    </w:p>
    <w:p>
      <w:pPr>
        <w:pStyle w:val="7"/>
        <w:keepNext w:val="0"/>
        <w:keepLines w:val="0"/>
        <w:pageBreakBefore w:val="0"/>
        <w:widowControl w:val="0"/>
        <w:tabs>
          <w:tab w:val="left" w:pos="1845"/>
        </w:tabs>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1.</w:t>
      </w:r>
      <w:r>
        <w:rPr>
          <w:rFonts w:hint="eastAsia" w:ascii="仿宋_GB2312" w:eastAsia="仿宋_GB2312"/>
          <w:sz w:val="32"/>
          <w:szCs w:val="32"/>
        </w:rPr>
        <w:t>境外展览重点支持项目资助</w:t>
      </w:r>
      <w:r>
        <w:rPr>
          <w:rFonts w:ascii="仿宋_GB2312" w:eastAsia="仿宋_GB2312"/>
          <w:sz w:val="32"/>
          <w:szCs w:val="32"/>
        </w:rPr>
        <w:t>申请的申报</w:t>
      </w:r>
      <w:r>
        <w:rPr>
          <w:rFonts w:hint="eastAsia" w:ascii="仿宋_GB2312" w:eastAsia="仿宋_GB2312"/>
          <w:sz w:val="32"/>
          <w:szCs w:val="32"/>
        </w:rPr>
        <w:t>单位</w:t>
      </w:r>
      <w:r>
        <w:rPr>
          <w:rFonts w:ascii="仿宋_GB2312" w:eastAsia="仿宋_GB2312"/>
          <w:sz w:val="32"/>
          <w:szCs w:val="32"/>
        </w:rPr>
        <w:t>为</w:t>
      </w:r>
      <w:r>
        <w:rPr>
          <w:rFonts w:hint="eastAsia" w:ascii="仿宋_GB2312" w:eastAsia="仿宋_GB2312"/>
          <w:sz w:val="32"/>
          <w:szCs w:val="32"/>
        </w:rPr>
        <w:t>已</w:t>
      </w:r>
      <w:r>
        <w:rPr>
          <w:rFonts w:ascii="仿宋_GB2312" w:eastAsia="仿宋_GB2312"/>
          <w:sz w:val="32"/>
          <w:szCs w:val="32"/>
        </w:rPr>
        <w:t>列入</w:t>
      </w:r>
      <w:r>
        <w:rPr>
          <w:rFonts w:hint="eastAsia" w:ascii="仿宋_GB2312" w:hAnsi="仿宋_GB2312" w:eastAsia="仿宋_GB2312" w:cs="仿宋_GB2312"/>
          <w:sz w:val="32"/>
          <w:szCs w:val="32"/>
        </w:rPr>
        <w:t>《深圳市商务局202</w:t>
      </w: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年境外展览重点支持项目计划》</w:t>
      </w:r>
      <w:r>
        <w:rPr>
          <w:rFonts w:hint="eastAsia" w:ascii="仿宋_GB2312" w:eastAsia="仿宋_GB2312"/>
          <w:sz w:val="32"/>
          <w:szCs w:val="32"/>
        </w:rPr>
        <w:t>并</w:t>
      </w:r>
      <w:r>
        <w:rPr>
          <w:rFonts w:hint="default" w:ascii="仿宋_GB2312" w:eastAsia="仿宋_GB2312"/>
          <w:sz w:val="32"/>
          <w:szCs w:val="32"/>
        </w:rPr>
        <w:t>于</w:t>
      </w:r>
      <w:r>
        <w:rPr>
          <w:rFonts w:hint="eastAsia" w:ascii="仿宋_GB2312" w:eastAsia="仿宋_GB2312"/>
          <w:sz w:val="32"/>
          <w:szCs w:val="32"/>
        </w:rPr>
        <w:t>2023年1-6月</w:t>
      </w:r>
      <w:r>
        <w:rPr>
          <w:rFonts w:ascii="仿宋_GB2312" w:eastAsia="仿宋_GB2312"/>
          <w:sz w:val="32"/>
          <w:szCs w:val="32"/>
        </w:rPr>
        <w:t>实施相应</w:t>
      </w:r>
      <w:r>
        <w:rPr>
          <w:rFonts w:hint="eastAsia" w:ascii="仿宋_GB2312" w:eastAsia="仿宋_GB2312"/>
          <w:sz w:val="32"/>
          <w:szCs w:val="32"/>
        </w:rPr>
        <w:t>组展项目</w:t>
      </w:r>
      <w:r>
        <w:rPr>
          <w:rFonts w:ascii="仿宋_GB2312" w:eastAsia="仿宋_GB2312"/>
          <w:sz w:val="32"/>
          <w:szCs w:val="32"/>
        </w:rPr>
        <w:t>的组展单位，及</w:t>
      </w:r>
      <w:r>
        <w:rPr>
          <w:rFonts w:hint="eastAsia" w:ascii="仿宋_GB2312" w:eastAsia="仿宋_GB2312"/>
          <w:sz w:val="32"/>
          <w:szCs w:val="32"/>
        </w:rPr>
        <w:t>参加</w:t>
      </w:r>
      <w:r>
        <w:rPr>
          <w:rFonts w:hint="eastAsia" w:ascii="仿宋_GB2312" w:hAnsi="仿宋_GB2312" w:eastAsia="仿宋_GB2312" w:cs="仿宋_GB2312"/>
          <w:sz w:val="32"/>
          <w:szCs w:val="32"/>
        </w:rPr>
        <w:t>《深圳市商务局202</w:t>
      </w: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年境外展览重点支持项目计划》</w:t>
      </w:r>
      <w:r>
        <w:rPr>
          <w:rFonts w:ascii="仿宋_GB2312" w:eastAsia="仿宋_GB2312"/>
          <w:sz w:val="32"/>
          <w:szCs w:val="32"/>
        </w:rPr>
        <w:t>所列</w:t>
      </w:r>
      <w:r>
        <w:rPr>
          <w:rFonts w:hint="eastAsia" w:ascii="仿宋_GB2312" w:eastAsia="仿宋_GB2312"/>
          <w:sz w:val="32"/>
          <w:szCs w:val="32"/>
        </w:rPr>
        <w:t>2023年1-6月线下</w:t>
      </w:r>
      <w:r>
        <w:rPr>
          <w:rFonts w:ascii="仿宋_GB2312" w:eastAsia="仿宋_GB2312"/>
          <w:sz w:val="32"/>
          <w:szCs w:val="32"/>
        </w:rPr>
        <w:t>展会的</w:t>
      </w:r>
      <w:r>
        <w:rPr>
          <w:rFonts w:hint="eastAsia" w:ascii="仿宋_GB2312" w:eastAsia="仿宋_GB2312"/>
          <w:sz w:val="32"/>
          <w:szCs w:val="32"/>
        </w:rPr>
        <w:t>境外展览重点参展企业。</w:t>
      </w:r>
    </w:p>
    <w:p>
      <w:pPr>
        <w:pStyle w:val="7"/>
        <w:keepNext w:val="0"/>
        <w:keepLines w:val="0"/>
        <w:pageBreakBefore w:val="0"/>
        <w:tabs>
          <w:tab w:val="left" w:pos="1845"/>
        </w:tabs>
        <w:kinsoku/>
        <w:wordWrap/>
        <w:overflowPunct/>
        <w:topLinePunct w:val="0"/>
        <w:autoSpaceDE/>
        <w:autoSpaceDN/>
        <w:bidi w:val="0"/>
        <w:spacing w:line="560" w:lineRule="exact"/>
        <w:ind w:firstLine="640" w:firstLineChars="200"/>
        <w:rPr>
          <w:rFonts w:ascii="仿宋_GB2312" w:eastAsia="仿宋_GB2312"/>
          <w:sz w:val="32"/>
          <w:szCs w:val="32"/>
        </w:rPr>
      </w:pP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rPr>
        <w:t>.</w:t>
      </w:r>
      <w:r>
        <w:rPr>
          <w:rFonts w:hint="eastAsia" w:ascii="仿宋_GB2312" w:eastAsia="仿宋_GB2312"/>
          <w:sz w:val="32"/>
          <w:szCs w:val="32"/>
        </w:rPr>
        <w:t>每个组展单位申请的项目数量不超过4个（包括</w:t>
      </w:r>
      <w:r>
        <w:rPr>
          <w:rFonts w:ascii="仿宋_GB2312" w:eastAsia="仿宋_GB2312"/>
          <w:sz w:val="32"/>
          <w:szCs w:val="32"/>
        </w:rPr>
        <w:t>线上展和线下展</w:t>
      </w:r>
      <w:r>
        <w:rPr>
          <w:rFonts w:hint="eastAsia" w:ascii="仿宋_GB2312" w:eastAsia="仿宋_GB2312"/>
          <w:sz w:val="32"/>
          <w:szCs w:val="32"/>
        </w:rPr>
        <w:t>）；每个线下展项目实际组展规模不少于20个标准展位（每个</w:t>
      </w:r>
      <w:r>
        <w:rPr>
          <w:rFonts w:ascii="仿宋_GB2312" w:eastAsia="仿宋_GB2312"/>
          <w:sz w:val="32"/>
          <w:szCs w:val="32"/>
        </w:rPr>
        <w:t>标准展位</w:t>
      </w:r>
      <w:r>
        <w:rPr>
          <w:rFonts w:hint="eastAsia" w:ascii="仿宋_GB2312" w:eastAsia="仿宋_GB2312"/>
          <w:sz w:val="32"/>
          <w:szCs w:val="32"/>
        </w:rPr>
        <w:t>面积以项目主办方签署合同为准）或180平方米，组团参展企业不少于10家。</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rPr>
          <w:rFonts w:ascii="仿宋_GB2312" w:eastAsia="仿宋_GB2312"/>
          <w:sz w:val="32"/>
          <w:szCs w:val="32"/>
          <w:highlight w:val="none"/>
        </w:rPr>
      </w:pPr>
      <w:r>
        <w:rPr>
          <w:rFonts w:hint="default"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eastAsia="仿宋_GB2312"/>
          <w:sz w:val="32"/>
          <w:szCs w:val="32"/>
        </w:rPr>
        <w:t>组展</w:t>
      </w:r>
      <w:r>
        <w:rPr>
          <w:rFonts w:ascii="仿宋_GB2312" w:eastAsia="仿宋_GB2312"/>
          <w:sz w:val="32"/>
          <w:szCs w:val="32"/>
        </w:rPr>
        <w:t>单位对</w:t>
      </w:r>
      <w:r>
        <w:rPr>
          <w:rFonts w:hint="eastAsia" w:ascii="仿宋_GB2312" w:eastAsia="仿宋_GB2312"/>
          <w:sz w:val="32"/>
          <w:szCs w:val="32"/>
        </w:rPr>
        <w:t>组织参加</w:t>
      </w:r>
      <w:r>
        <w:rPr>
          <w:rFonts w:ascii="仿宋_GB2312" w:eastAsia="仿宋_GB2312"/>
          <w:sz w:val="32"/>
          <w:szCs w:val="32"/>
        </w:rPr>
        <w:t>境外</w:t>
      </w:r>
      <w:r>
        <w:rPr>
          <w:rFonts w:hint="eastAsia" w:ascii="仿宋_GB2312" w:eastAsia="仿宋_GB2312"/>
          <w:sz w:val="32"/>
          <w:szCs w:val="32"/>
        </w:rPr>
        <w:t>展览</w:t>
      </w:r>
      <w:r>
        <w:rPr>
          <w:rFonts w:ascii="仿宋_GB2312" w:eastAsia="仿宋_GB2312"/>
          <w:sz w:val="32"/>
          <w:szCs w:val="32"/>
        </w:rPr>
        <w:t>安全承担主体责任，应高度重视知</w:t>
      </w:r>
      <w:r>
        <w:rPr>
          <w:rFonts w:ascii="仿宋_GB2312" w:eastAsia="仿宋_GB2312"/>
          <w:sz w:val="32"/>
          <w:szCs w:val="32"/>
          <w:highlight w:val="none"/>
        </w:rPr>
        <w:t>识产权工作。</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rPr>
          <w:rFonts w:hint="default" w:ascii="仿宋_GB2312" w:hAnsi="仿宋_GB2312" w:eastAsia="仿宋_GB2312" w:cs="仿宋_GB2312"/>
          <w:b w:val="0"/>
          <w:bCs w:val="0"/>
          <w:sz w:val="32"/>
          <w:szCs w:val="32"/>
          <w:highlight w:val="none"/>
        </w:rPr>
      </w:pPr>
      <w:r>
        <w:rPr>
          <w:rFonts w:ascii="仿宋_GB2312" w:eastAsia="仿宋_GB2312"/>
          <w:b w:val="0"/>
          <w:bCs w:val="0"/>
          <w:sz w:val="32"/>
          <w:szCs w:val="32"/>
          <w:highlight w:val="none"/>
        </w:rPr>
        <w:t>4.</w:t>
      </w:r>
      <w:r>
        <w:rPr>
          <w:rFonts w:hint="default" w:ascii="仿宋_GB2312" w:eastAsia="仿宋_GB2312"/>
          <w:b w:val="0"/>
          <w:bCs w:val="0"/>
          <w:sz w:val="32"/>
          <w:szCs w:val="32"/>
          <w:highlight w:val="none"/>
        </w:rPr>
        <w:t>企业参展取得积极成效并获取订单，每家参展企业均应提交《展会成效一览表》。</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rPr>
        <w:t>5.</w:t>
      </w:r>
      <w:r>
        <w:rPr>
          <w:rFonts w:hint="eastAsia" w:ascii="仿宋_GB2312" w:hAnsi="仿宋_GB2312" w:eastAsia="仿宋_GB2312" w:cs="仿宋_GB2312"/>
          <w:sz w:val="32"/>
          <w:szCs w:val="32"/>
        </w:rPr>
        <w:t>境外展览项目应当在</w:t>
      </w:r>
      <w:r>
        <w:rPr>
          <w:rFonts w:hint="default" w:ascii="仿宋_GB2312" w:hAnsi="仿宋_GB2312" w:eastAsia="仿宋_GB2312" w:cs="仿宋_GB2312"/>
          <w:sz w:val="32"/>
          <w:szCs w:val="32"/>
        </w:rPr>
        <w:t>2023年1月1日—2023年6月30日</w:t>
      </w:r>
      <w:r>
        <w:rPr>
          <w:rFonts w:hint="eastAsia" w:ascii="仿宋_GB2312" w:hAnsi="仿宋_GB2312" w:eastAsia="仿宋_GB2312" w:cs="仿宋_GB2312"/>
          <w:sz w:val="32"/>
          <w:szCs w:val="32"/>
        </w:rPr>
        <w:t>期间完成</w:t>
      </w:r>
      <w:r>
        <w:rPr>
          <w:rFonts w:ascii="仿宋_GB2312" w:hAnsi="仿宋_GB2312" w:eastAsia="仿宋_GB2312" w:cs="仿宋_GB2312"/>
          <w:sz w:val="32"/>
          <w:szCs w:val="32"/>
        </w:rPr>
        <w:t>，已</w:t>
      </w:r>
      <w:r>
        <w:rPr>
          <w:rFonts w:hint="eastAsia" w:ascii="仿宋_GB2312" w:hAnsi="仿宋_GB2312" w:eastAsia="仿宋_GB2312" w:cs="仿宋_GB2312"/>
          <w:sz w:val="32"/>
          <w:szCs w:val="32"/>
        </w:rPr>
        <w:t>支付费用并取得相关单据资料和银行出具的支付凭证。</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rPr>
          <w:rFonts w:ascii="仿宋_GB2312" w:eastAsia="仿宋_GB2312"/>
          <w:sz w:val="32"/>
          <w:szCs w:val="32"/>
        </w:rPr>
      </w:pPr>
      <w:r>
        <w:rPr>
          <w:rFonts w:hint="default" w:ascii="仿宋_GB2312" w:eastAsia="仿宋_GB2312"/>
          <w:sz w:val="32"/>
          <w:szCs w:val="32"/>
        </w:rPr>
        <w:t>6</w:t>
      </w:r>
      <w:r>
        <w:rPr>
          <w:rFonts w:hint="eastAsia" w:ascii="仿宋_GB2312" w:eastAsia="仿宋_GB2312"/>
          <w:sz w:val="32"/>
          <w:szCs w:val="32"/>
        </w:rPr>
        <w:t>.申报项目主体须与相关费用单据资料、支付凭证和合同协议等申请材料信息相一致。</w:t>
      </w:r>
    </w:p>
    <w:p>
      <w:pPr>
        <w:pStyle w:val="7"/>
        <w:keepNext w:val="0"/>
        <w:keepLines w:val="0"/>
        <w:pageBreakBefore w:val="0"/>
        <w:tabs>
          <w:tab w:val="left" w:pos="1845"/>
        </w:tabs>
        <w:kinsoku/>
        <w:wordWrap/>
        <w:overflowPunct/>
        <w:topLinePunct w:val="0"/>
        <w:autoSpaceDE/>
        <w:autoSpaceDN/>
        <w:bidi w:val="0"/>
        <w:spacing w:line="560" w:lineRule="exact"/>
        <w:ind w:firstLine="640" w:firstLineChars="200"/>
        <w:rPr>
          <w:rFonts w:ascii="仿宋_GB2312" w:eastAsia="仿宋_GB2312"/>
          <w:sz w:val="32"/>
          <w:szCs w:val="32"/>
        </w:rPr>
      </w:pPr>
      <w:r>
        <w:rPr>
          <w:rFonts w:hint="default" w:ascii="仿宋_GB2312" w:hAnsi="仿宋_GB2312" w:eastAsia="仿宋_GB2312" w:cs="仿宋_GB2312"/>
          <w:sz w:val="32"/>
          <w:szCs w:val="32"/>
        </w:rPr>
        <w:t>7</w:t>
      </w:r>
      <w:r>
        <w:rPr>
          <w:rFonts w:hint="eastAsia" w:ascii="仿宋_GB2312" w:hAnsi="仿宋_GB2312" w:eastAsia="仿宋_GB2312" w:cs="仿宋_GB2312"/>
          <w:sz w:val="32"/>
          <w:szCs w:val="32"/>
        </w:rPr>
        <w:t>.</w:t>
      </w:r>
      <w:r>
        <w:rPr>
          <w:rFonts w:hint="eastAsia" w:ascii="仿宋_GB2312" w:eastAsia="仿宋_GB2312"/>
          <w:sz w:val="32"/>
          <w:szCs w:val="32"/>
        </w:rPr>
        <w:t>资助费用仅支持申请单位</w:t>
      </w:r>
      <w:r>
        <w:rPr>
          <w:rFonts w:hint="default" w:ascii="仿宋_GB2312" w:eastAsia="仿宋_GB2312"/>
          <w:sz w:val="32"/>
          <w:szCs w:val="32"/>
        </w:rPr>
        <w:t>对公</w:t>
      </w:r>
      <w:r>
        <w:rPr>
          <w:rFonts w:hint="eastAsia" w:ascii="仿宋_GB2312" w:eastAsia="仿宋_GB2312"/>
          <w:sz w:val="32"/>
          <w:szCs w:val="32"/>
        </w:rPr>
        <w:t>账户支付，不支持现金、个人和关联公司等支付方式。</w:t>
      </w:r>
    </w:p>
    <w:p>
      <w:pPr>
        <w:keepNext w:val="0"/>
        <w:keepLines w:val="0"/>
        <w:pageBreakBefore w:val="0"/>
        <w:kinsoku/>
        <w:wordWrap/>
        <w:overflowPunct/>
        <w:topLinePunct w:val="0"/>
        <w:autoSpaceDE/>
        <w:autoSpaceDN/>
        <w:bidi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五、支持内容和支持标准</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eastAsia="仿宋_GB2312"/>
          <w:sz w:val="32"/>
          <w:szCs w:val="32"/>
        </w:rPr>
      </w:pPr>
      <w:r>
        <w:rPr>
          <w:rFonts w:hint="default" w:ascii="仿宋_GB2312" w:hAnsi="仿宋_GB2312" w:eastAsia="仿宋_GB2312" w:cs="仿宋_GB2312"/>
          <w:sz w:val="32"/>
          <w:szCs w:val="32"/>
        </w:rPr>
        <w:t>对</w:t>
      </w:r>
      <w:r>
        <w:rPr>
          <w:rFonts w:hint="eastAsia" w:ascii="仿宋_GB2312" w:hAnsi="仿宋_GB2312" w:eastAsia="仿宋_GB2312" w:cs="仿宋_GB2312"/>
          <w:sz w:val="32"/>
          <w:szCs w:val="32"/>
        </w:rPr>
        <w:t>组展单位组织企业参加境外展览重点项目</w:t>
      </w:r>
      <w:r>
        <w:rPr>
          <w:rFonts w:hint="default" w:ascii="仿宋_GB2312" w:hAnsi="仿宋_GB2312" w:eastAsia="仿宋_GB2312" w:cs="仿宋_GB2312"/>
          <w:sz w:val="32"/>
          <w:szCs w:val="32"/>
        </w:rPr>
        <w:t>给予</w:t>
      </w:r>
      <w:r>
        <w:rPr>
          <w:rFonts w:hint="eastAsia" w:ascii="仿宋_GB2312" w:hAnsi="仿宋_GB2312" w:eastAsia="仿宋_GB2312" w:cs="仿宋_GB2312"/>
          <w:sz w:val="32"/>
          <w:szCs w:val="32"/>
        </w:rPr>
        <w:t>展位费和承办费</w:t>
      </w:r>
      <w:r>
        <w:rPr>
          <w:rFonts w:hint="default" w:ascii="仿宋_GB2312" w:hAnsi="仿宋_GB2312" w:eastAsia="仿宋_GB2312" w:cs="仿宋_GB2312"/>
          <w:sz w:val="32"/>
          <w:szCs w:val="32"/>
        </w:rPr>
        <w:t>资助，</w:t>
      </w:r>
      <w:r>
        <w:rPr>
          <w:rFonts w:hint="eastAsia" w:ascii="仿宋_GB2312" w:eastAsia="仿宋_GB2312"/>
          <w:sz w:val="32"/>
          <w:szCs w:val="32"/>
        </w:rPr>
        <w:t>对境外展览重点参展企业给予展位费资助。每个</w:t>
      </w:r>
      <w:r>
        <w:rPr>
          <w:rFonts w:ascii="仿宋_GB2312" w:eastAsia="仿宋_GB2312"/>
          <w:sz w:val="32"/>
          <w:szCs w:val="32"/>
        </w:rPr>
        <w:t>境外展览重点支持项目</w:t>
      </w:r>
      <w:r>
        <w:rPr>
          <w:rFonts w:hint="eastAsia" w:ascii="仿宋_GB2312" w:eastAsia="仿宋_GB2312"/>
          <w:sz w:val="32"/>
          <w:szCs w:val="32"/>
        </w:rPr>
        <w:t>组展</w:t>
      </w:r>
      <w:r>
        <w:rPr>
          <w:rFonts w:ascii="仿宋_GB2312" w:eastAsia="仿宋_GB2312"/>
          <w:sz w:val="32"/>
          <w:szCs w:val="32"/>
        </w:rPr>
        <w:t>单位申报资金</w:t>
      </w:r>
      <w:r>
        <w:rPr>
          <w:rFonts w:hint="eastAsia" w:ascii="仿宋_GB2312" w:eastAsia="仿宋_GB2312"/>
          <w:sz w:val="32"/>
          <w:szCs w:val="32"/>
        </w:rPr>
        <w:t>的</w:t>
      </w:r>
      <w:r>
        <w:rPr>
          <w:rFonts w:ascii="仿宋_GB2312" w:eastAsia="仿宋_GB2312"/>
          <w:sz w:val="32"/>
          <w:szCs w:val="32"/>
        </w:rPr>
        <w:t>资助上限不超过</w:t>
      </w:r>
      <w:r>
        <w:rPr>
          <w:rFonts w:hint="eastAsia" w:ascii="仿宋_GB2312" w:eastAsia="仿宋_GB2312"/>
          <w:sz w:val="32"/>
          <w:szCs w:val="32"/>
        </w:rPr>
        <w:t>200万元</w:t>
      </w:r>
      <w:r>
        <w:rPr>
          <w:rFonts w:ascii="仿宋_GB2312" w:eastAsia="仿宋_GB2312"/>
          <w:sz w:val="32"/>
          <w:szCs w:val="32"/>
        </w:rPr>
        <w:t>。</w:t>
      </w:r>
      <w:r>
        <w:rPr>
          <w:rFonts w:hint="eastAsia" w:ascii="仿宋_GB2312" w:eastAsia="仿宋_GB2312"/>
          <w:sz w:val="32"/>
          <w:szCs w:val="32"/>
        </w:rPr>
        <w:t>每个境外展览重点参展企业参加一次展会获资金资助上限不超过50万元，合计不超过200万元；不纳入单个境外展览重点支持项目资金资助上限不超过200万元的统筹中。</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市级财政按现行政策对组展和展位实际支出费用补贴，各区按市级支出的50%给予配套支持。</w:t>
      </w:r>
      <w:r>
        <w:rPr>
          <w:rFonts w:hint="default" w:ascii="仿宋_GB2312" w:hAnsi="仿宋_GB2312" w:eastAsia="仿宋_GB2312" w:cs="仿宋_GB2312"/>
          <w:sz w:val="32"/>
          <w:szCs w:val="32"/>
        </w:rPr>
        <w:t>同一项目市区两级财政合计资助金额不超过项目实际投入。</w:t>
      </w:r>
    </w:p>
    <w:p>
      <w:pPr>
        <w:keepNext w:val="0"/>
        <w:keepLines w:val="0"/>
        <w:pageBreakBefore w:val="0"/>
        <w:kinsoku/>
        <w:wordWrap/>
        <w:overflowPunct/>
        <w:topLinePunct w:val="0"/>
        <w:autoSpaceDE/>
        <w:autoSpaceDN/>
        <w:bidi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（一）展位费</w:t>
      </w:r>
    </w:p>
    <w:p>
      <w:pPr>
        <w:keepNext w:val="0"/>
        <w:keepLines w:val="0"/>
        <w:pageBreakBefore w:val="0"/>
        <w:kinsoku/>
        <w:wordWrap/>
        <w:overflowPunct/>
        <w:topLinePunct w:val="0"/>
        <w:autoSpaceDE/>
        <w:autoSpaceDN/>
        <w:bidi w:val="0"/>
        <w:spacing w:line="560" w:lineRule="exact"/>
        <w:ind w:firstLine="640" w:firstLineChars="200"/>
        <w:rPr>
          <w:rFonts w:ascii="仿宋_GB2312" w:eastAsia="仿宋_GB2312"/>
          <w:color w:val="auto"/>
          <w:sz w:val="32"/>
          <w:szCs w:val="32"/>
        </w:rPr>
      </w:pPr>
      <w:r>
        <w:rPr>
          <w:rFonts w:hint="eastAsia" w:ascii="仿宋_GB2312" w:eastAsia="仿宋_GB2312"/>
          <w:sz w:val="32"/>
          <w:szCs w:val="32"/>
        </w:rPr>
        <w:t>1.中心展位费：中心展位是指用于深圳市城市整体形象和产业发展成果展示，及为参展企业提供公共洽谈区域和其他公共服务的展位，由组展单位搭建管理。</w:t>
      </w:r>
      <w:r>
        <w:rPr>
          <w:rFonts w:ascii="仿宋_GB2312" w:eastAsia="仿宋_GB2312"/>
          <w:sz w:val="32"/>
          <w:szCs w:val="32"/>
        </w:rPr>
        <w:t>全额</w:t>
      </w:r>
      <w:r>
        <w:rPr>
          <w:rFonts w:hint="eastAsia" w:ascii="仿宋_GB2312" w:eastAsia="仿宋_GB2312"/>
          <w:sz w:val="32"/>
          <w:szCs w:val="32"/>
        </w:rPr>
        <w:t>资助</w:t>
      </w:r>
      <w:r>
        <w:rPr>
          <w:rFonts w:ascii="仿宋_GB2312" w:eastAsia="仿宋_GB2312"/>
          <w:sz w:val="32"/>
          <w:szCs w:val="32"/>
        </w:rPr>
        <w:t>中心展位费，每次展览最多</w:t>
      </w:r>
      <w:r>
        <w:rPr>
          <w:rFonts w:hint="eastAsia" w:ascii="仿宋_GB2312" w:eastAsia="仿宋_GB2312"/>
          <w:sz w:val="32"/>
          <w:szCs w:val="32"/>
        </w:rPr>
        <w:t>2个，</w:t>
      </w:r>
      <w:r>
        <w:rPr>
          <w:rFonts w:ascii="仿宋_GB2312" w:eastAsia="仿宋_GB2312"/>
          <w:sz w:val="32"/>
          <w:szCs w:val="32"/>
        </w:rPr>
        <w:t>总金额不超过</w:t>
      </w:r>
      <w:r>
        <w:rPr>
          <w:rFonts w:hint="eastAsia" w:ascii="仿宋_GB2312" w:eastAsia="仿宋_GB2312"/>
          <w:sz w:val="32"/>
          <w:szCs w:val="32"/>
        </w:rPr>
        <w:t>10万元</w:t>
      </w:r>
      <w:r>
        <w:rPr>
          <w:rFonts w:ascii="仿宋_GB2312" w:eastAsia="仿宋_GB2312"/>
          <w:sz w:val="32"/>
          <w:szCs w:val="32"/>
        </w:rPr>
        <w:t>。</w:t>
      </w:r>
      <w:r>
        <w:rPr>
          <w:rFonts w:hint="eastAsia" w:ascii="仿宋_GB2312" w:eastAsia="仿宋_GB2312"/>
          <w:sz w:val="32"/>
          <w:szCs w:val="32"/>
        </w:rPr>
        <w:t>其中，申报</w:t>
      </w:r>
      <w:r>
        <w:rPr>
          <w:rFonts w:ascii="仿宋_GB2312" w:eastAsia="仿宋_GB2312"/>
          <w:sz w:val="32"/>
          <w:szCs w:val="32"/>
        </w:rPr>
        <w:t>的</w:t>
      </w:r>
      <w:r>
        <w:rPr>
          <w:rFonts w:hint="eastAsia" w:ascii="仿宋_GB2312" w:eastAsia="仿宋_GB2312"/>
          <w:sz w:val="32"/>
          <w:szCs w:val="32"/>
        </w:rPr>
        <w:t>组展</w:t>
      </w:r>
      <w:r>
        <w:rPr>
          <w:rFonts w:ascii="仿宋_GB2312" w:eastAsia="仿宋_GB2312"/>
          <w:sz w:val="32"/>
          <w:szCs w:val="32"/>
        </w:rPr>
        <w:t>计划</w:t>
      </w:r>
      <w:r>
        <w:rPr>
          <w:rFonts w:hint="eastAsia" w:ascii="仿宋_GB2312" w:eastAsia="仿宋_GB2312"/>
          <w:sz w:val="32"/>
          <w:szCs w:val="32"/>
        </w:rPr>
        <w:t>总展位</w:t>
      </w:r>
      <w:r>
        <w:rPr>
          <w:rFonts w:ascii="仿宋_GB2312" w:eastAsia="仿宋_GB2312"/>
          <w:sz w:val="32"/>
          <w:szCs w:val="32"/>
        </w:rPr>
        <w:t>在</w:t>
      </w:r>
      <w:r>
        <w:rPr>
          <w:rFonts w:hint="eastAsia" w:ascii="仿宋_GB2312" w:eastAsia="仿宋_GB2312"/>
          <w:sz w:val="32"/>
          <w:szCs w:val="32"/>
        </w:rPr>
        <w:t>50个及以下</w:t>
      </w:r>
      <w:r>
        <w:rPr>
          <w:rFonts w:ascii="仿宋_GB2312" w:eastAsia="仿宋_GB2312"/>
          <w:sz w:val="32"/>
          <w:szCs w:val="32"/>
        </w:rPr>
        <w:t>的，</w:t>
      </w:r>
      <w:r>
        <w:rPr>
          <w:rFonts w:hint="eastAsia" w:ascii="仿宋_GB2312" w:eastAsia="仿宋_GB2312"/>
          <w:sz w:val="32"/>
          <w:szCs w:val="32"/>
        </w:rPr>
        <w:t>资助1个</w:t>
      </w:r>
      <w:r>
        <w:rPr>
          <w:rFonts w:ascii="仿宋_GB2312" w:eastAsia="仿宋_GB2312"/>
          <w:sz w:val="32"/>
          <w:szCs w:val="32"/>
        </w:rPr>
        <w:t>中心展位的展位费；</w:t>
      </w:r>
      <w:r>
        <w:rPr>
          <w:rFonts w:hint="eastAsia" w:ascii="仿宋_GB2312" w:eastAsia="仿宋_GB2312"/>
          <w:sz w:val="32"/>
          <w:szCs w:val="32"/>
        </w:rPr>
        <w:t>总展位</w:t>
      </w:r>
      <w:r>
        <w:rPr>
          <w:rFonts w:ascii="仿宋_GB2312" w:eastAsia="仿宋_GB2312"/>
          <w:sz w:val="32"/>
          <w:szCs w:val="32"/>
        </w:rPr>
        <w:t>在</w:t>
      </w:r>
      <w:r>
        <w:rPr>
          <w:rFonts w:hint="eastAsia" w:ascii="仿宋_GB2312" w:eastAsia="仿宋_GB2312"/>
          <w:sz w:val="32"/>
          <w:szCs w:val="32"/>
        </w:rPr>
        <w:t>51个及</w:t>
      </w:r>
      <w:r>
        <w:rPr>
          <w:rFonts w:ascii="仿宋_GB2312" w:eastAsia="仿宋_GB2312"/>
          <w:sz w:val="32"/>
          <w:szCs w:val="32"/>
        </w:rPr>
        <w:t>以上的，资助</w:t>
      </w:r>
      <w:r>
        <w:rPr>
          <w:rFonts w:hint="eastAsia" w:ascii="仿宋_GB2312" w:eastAsia="仿宋_GB2312"/>
          <w:sz w:val="32"/>
          <w:szCs w:val="32"/>
        </w:rPr>
        <w:t>2个</w:t>
      </w:r>
      <w:r>
        <w:rPr>
          <w:rFonts w:ascii="仿宋_GB2312" w:eastAsia="仿宋_GB2312"/>
          <w:sz w:val="32"/>
          <w:szCs w:val="32"/>
        </w:rPr>
        <w:t>中心展位的展位费</w:t>
      </w:r>
      <w:r>
        <w:rPr>
          <w:rFonts w:ascii="仿宋_GB2312" w:eastAsia="仿宋_GB2312"/>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在</w:t>
      </w:r>
      <w:r>
        <w:rPr>
          <w:rFonts w:hint="eastAsia" w:ascii="仿宋_GB2312" w:hAnsi="仿宋_GB2312" w:eastAsia="仿宋_GB2312" w:cs="仿宋_GB2312"/>
          <w:color w:val="auto"/>
          <w:sz w:val="32"/>
          <w:szCs w:val="32"/>
        </w:rPr>
        <w:t>境外展览重点支持项目计划</w:t>
      </w:r>
      <w:r>
        <w:rPr>
          <w:rFonts w:hint="eastAsia" w:ascii="仿宋_GB2312" w:eastAsia="仿宋_GB2312"/>
          <w:color w:val="auto"/>
          <w:sz w:val="32"/>
          <w:szCs w:val="32"/>
        </w:rPr>
        <w:t>申报材料中未填报中心展位计划的不可申请该项资助。</w:t>
      </w:r>
    </w:p>
    <w:p>
      <w:pPr>
        <w:keepNext w:val="0"/>
        <w:keepLines w:val="0"/>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2.企业展位费：给予每个企业不超过50％的展位费资助，按照每个标准展位给予</w:t>
      </w:r>
      <w:r>
        <w:rPr>
          <w:rFonts w:ascii="仿宋_GB2312" w:eastAsia="仿宋_GB2312"/>
          <w:sz w:val="32"/>
          <w:szCs w:val="32"/>
        </w:rPr>
        <w:t>资助</w:t>
      </w:r>
      <w:r>
        <w:rPr>
          <w:rFonts w:hint="eastAsia" w:ascii="仿宋_GB2312" w:eastAsia="仿宋_GB2312"/>
          <w:sz w:val="32"/>
          <w:szCs w:val="32"/>
        </w:rPr>
        <w:t>，每个企业最多资助2个展位。</w:t>
      </w:r>
    </w:p>
    <w:p>
      <w:pPr>
        <w:keepNext w:val="0"/>
        <w:keepLines w:val="0"/>
        <w:pageBreakBefore w:val="0"/>
        <w:kinsoku/>
        <w:wordWrap/>
        <w:overflowPunct/>
        <w:topLinePunct w:val="0"/>
        <w:autoSpaceDE/>
        <w:autoSpaceDN/>
        <w:bidi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ascii="楷体_GB2312" w:hAnsi="楷体_GB2312" w:eastAsia="楷体_GB2312" w:cs="楷体_GB2312"/>
          <w:sz w:val="32"/>
          <w:szCs w:val="32"/>
        </w:rPr>
        <w:t>二</w:t>
      </w:r>
      <w:r>
        <w:rPr>
          <w:rFonts w:hint="eastAsia" w:ascii="楷体_GB2312" w:hAnsi="楷体_GB2312" w:eastAsia="楷体_GB2312" w:cs="楷体_GB2312"/>
          <w:sz w:val="32"/>
          <w:szCs w:val="32"/>
        </w:rPr>
        <w:t>）承办费</w:t>
      </w:r>
    </w:p>
    <w:p>
      <w:pPr>
        <w:pStyle w:val="7"/>
        <w:keepNext w:val="0"/>
        <w:keepLines w:val="0"/>
        <w:pageBreakBefore w:val="0"/>
        <w:tabs>
          <w:tab w:val="left" w:pos="1845"/>
        </w:tabs>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对于组展单位组织企业参加境外展览的承办费用给予资助，金额最高为</w:t>
      </w:r>
      <w:r>
        <w:rPr>
          <w:rFonts w:ascii="仿宋_GB2312" w:eastAsia="仿宋_GB2312"/>
          <w:sz w:val="32"/>
          <w:szCs w:val="32"/>
        </w:rPr>
        <w:t>20</w:t>
      </w:r>
      <w:r>
        <w:rPr>
          <w:rFonts w:hint="eastAsia" w:ascii="仿宋_GB2312" w:eastAsia="仿宋_GB2312"/>
          <w:sz w:val="32"/>
          <w:szCs w:val="32"/>
        </w:rPr>
        <w:t>万元。实际组展总展位在50个及以下的，每次资助承办费10万元；51个</w:t>
      </w:r>
      <w:r>
        <w:rPr>
          <w:rFonts w:ascii="仿宋_GB2312" w:eastAsia="仿宋_GB2312"/>
          <w:sz w:val="32"/>
          <w:szCs w:val="32"/>
        </w:rPr>
        <w:t>以上</w:t>
      </w:r>
      <w:r>
        <w:rPr>
          <w:rFonts w:hint="eastAsia" w:ascii="仿宋_GB2312" w:eastAsia="仿宋_GB2312"/>
          <w:sz w:val="32"/>
          <w:szCs w:val="32"/>
        </w:rPr>
        <w:t>展位的，资助承办</w:t>
      </w:r>
      <w:r>
        <w:rPr>
          <w:rFonts w:ascii="仿宋_GB2312" w:eastAsia="仿宋_GB2312"/>
          <w:sz w:val="32"/>
          <w:szCs w:val="32"/>
        </w:rPr>
        <w:t>费</w:t>
      </w:r>
      <w:r>
        <w:rPr>
          <w:rFonts w:hint="eastAsia" w:ascii="仿宋_GB2312" w:eastAsia="仿宋_GB2312"/>
          <w:sz w:val="32"/>
          <w:szCs w:val="32"/>
        </w:rPr>
        <w:t>20万元</w:t>
      </w:r>
      <w:r>
        <w:rPr>
          <w:rFonts w:ascii="仿宋_GB2312" w:eastAsia="仿宋_GB2312"/>
          <w:sz w:val="32"/>
          <w:szCs w:val="32"/>
        </w:rPr>
        <w:t>。</w:t>
      </w:r>
    </w:p>
    <w:p>
      <w:pPr>
        <w:pStyle w:val="7"/>
        <w:keepNext w:val="0"/>
        <w:keepLines w:val="0"/>
        <w:pageBreakBefore w:val="0"/>
        <w:tabs>
          <w:tab w:val="left" w:pos="1845"/>
        </w:tabs>
        <w:kinsoku/>
        <w:wordWrap/>
        <w:overflowPunct/>
        <w:topLinePunct w:val="0"/>
        <w:autoSpaceDE/>
        <w:autoSpaceDN/>
        <w:bidi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（三）重点参展企业展位费</w:t>
      </w:r>
    </w:p>
    <w:p>
      <w:pPr>
        <w:pStyle w:val="7"/>
        <w:keepNext w:val="0"/>
        <w:keepLines w:val="0"/>
        <w:pageBreakBefore w:val="0"/>
        <w:tabs>
          <w:tab w:val="left" w:pos="1845"/>
        </w:tabs>
        <w:kinsoku/>
        <w:wordWrap/>
        <w:overflowPunct/>
        <w:topLinePunct w:val="0"/>
        <w:autoSpaceDE/>
        <w:autoSpaceDN/>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对境外展览重点参展企业线下</w:t>
      </w:r>
      <w:r>
        <w:rPr>
          <w:rFonts w:ascii="仿宋_GB2312" w:eastAsia="仿宋_GB2312"/>
          <w:sz w:val="32"/>
          <w:szCs w:val="32"/>
        </w:rPr>
        <w:t>参加</w:t>
      </w:r>
      <w:r>
        <w:rPr>
          <w:rFonts w:hint="default" w:ascii="仿宋_GB2312" w:eastAsia="仿宋_GB2312"/>
          <w:sz w:val="32"/>
          <w:szCs w:val="32"/>
        </w:rPr>
        <w:t>2023年</w:t>
      </w:r>
      <w:r>
        <w:rPr>
          <w:rFonts w:hint="eastAsia" w:ascii="仿宋_GB2312" w:eastAsia="仿宋_GB2312"/>
          <w:sz w:val="32"/>
          <w:szCs w:val="32"/>
        </w:rPr>
        <w:t>境外展览重点支持项目</w:t>
      </w:r>
      <w:r>
        <w:rPr>
          <w:rFonts w:hint="default" w:ascii="仿宋_GB2312" w:eastAsia="仿宋_GB2312"/>
          <w:sz w:val="32"/>
          <w:szCs w:val="32"/>
        </w:rPr>
        <w:t>所发生</w:t>
      </w:r>
      <w:r>
        <w:rPr>
          <w:rFonts w:hint="eastAsia" w:ascii="仿宋_GB2312" w:eastAsia="仿宋_GB2312"/>
          <w:sz w:val="32"/>
          <w:szCs w:val="32"/>
        </w:rPr>
        <w:t>的</w:t>
      </w:r>
      <w:r>
        <w:rPr>
          <w:rFonts w:ascii="仿宋_GB2312" w:eastAsia="仿宋_GB2312"/>
          <w:sz w:val="32"/>
          <w:szCs w:val="32"/>
        </w:rPr>
        <w:t>展位费</w:t>
      </w:r>
      <w:r>
        <w:rPr>
          <w:rFonts w:hint="eastAsia" w:ascii="仿宋_GB2312" w:eastAsia="仿宋_GB2312"/>
          <w:sz w:val="32"/>
          <w:szCs w:val="32"/>
        </w:rPr>
        <w:t>给予50</w:t>
      </w:r>
      <w:r>
        <w:rPr>
          <w:rFonts w:ascii="仿宋_GB2312" w:eastAsia="仿宋_GB2312"/>
          <w:sz w:val="32"/>
          <w:szCs w:val="32"/>
        </w:rPr>
        <w:t>%的</w:t>
      </w:r>
      <w:r>
        <w:rPr>
          <w:rFonts w:hint="eastAsia" w:ascii="仿宋_GB2312" w:eastAsia="仿宋_GB2312"/>
          <w:sz w:val="32"/>
          <w:szCs w:val="32"/>
        </w:rPr>
        <w:t>资助。每家境外展览重点参展企业参加一次展会所获资金资助上限为50万元，合计不超过200万元。</w:t>
      </w:r>
    </w:p>
    <w:p>
      <w:pPr>
        <w:keepNext w:val="0"/>
        <w:keepLines w:val="0"/>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黑体" w:hAnsi="黑体" w:eastAsia="黑体"/>
          <w:sz w:val="32"/>
          <w:szCs w:val="32"/>
        </w:rPr>
        <w:t>六、申请材料</w:t>
      </w:r>
    </w:p>
    <w:p>
      <w:pPr>
        <w:keepNext w:val="0"/>
        <w:keepLines w:val="0"/>
        <w:pageBreakBefore w:val="0"/>
        <w:kinsoku/>
        <w:wordWrap/>
        <w:overflowPunct/>
        <w:topLinePunct w:val="0"/>
        <w:autoSpaceDE/>
        <w:autoSpaceDN/>
        <w:bidi w:val="0"/>
        <w:spacing w:line="560" w:lineRule="exact"/>
        <w:ind w:firstLine="640" w:firstLineChars="200"/>
        <w:rPr>
          <w:rFonts w:ascii="仿宋_GB2312" w:eastAsia="仿宋_GB2312"/>
          <w:b/>
          <w:sz w:val="32"/>
          <w:szCs w:val="32"/>
        </w:rPr>
      </w:pPr>
      <w:r>
        <w:rPr>
          <w:rFonts w:hint="eastAsia" w:ascii="楷体_GB2312" w:hAnsi="楷体_GB2312" w:eastAsia="楷体_GB2312" w:cs="楷体_GB2312"/>
          <w:b w:val="0"/>
          <w:bCs/>
          <w:sz w:val="32"/>
          <w:szCs w:val="32"/>
        </w:rPr>
        <w:t>（一）基础材料</w:t>
      </w:r>
    </w:p>
    <w:p>
      <w:pPr>
        <w:keepNext w:val="0"/>
        <w:keepLines w:val="0"/>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登录广东政务服务网（http://www.gdzwfw.gov.cn/）—深圳市—市</w:t>
      </w:r>
      <w:r>
        <w:rPr>
          <w:rFonts w:ascii="仿宋_GB2312" w:eastAsia="仿宋_GB2312"/>
          <w:sz w:val="32"/>
          <w:szCs w:val="32"/>
        </w:rPr>
        <w:t>商务局</w:t>
      </w:r>
      <w:r>
        <w:rPr>
          <w:rFonts w:hint="eastAsia" w:ascii="仿宋_GB2312" w:eastAsia="仿宋_GB2312"/>
          <w:sz w:val="32"/>
          <w:szCs w:val="32"/>
        </w:rPr>
        <w:t>—</w:t>
      </w:r>
      <w:r>
        <w:rPr>
          <w:rFonts w:hint="eastAsia" w:ascii="仿宋_GB2312" w:eastAsia="仿宋_GB2312"/>
          <w:sz w:val="32"/>
          <w:szCs w:val="32"/>
          <w:highlight w:val="none"/>
        </w:rPr>
        <w:t>搜索境外展览重点支持项目</w:t>
      </w:r>
      <w:r>
        <w:rPr>
          <w:rFonts w:hint="default" w:ascii="仿宋_GB2312" w:eastAsia="仿宋_GB2312"/>
          <w:sz w:val="32"/>
          <w:szCs w:val="32"/>
          <w:highlight w:val="none"/>
        </w:rPr>
        <w:t>资助事项</w:t>
      </w:r>
      <w:r>
        <w:rPr>
          <w:rFonts w:hint="eastAsia" w:ascii="仿宋_GB2312" w:eastAsia="仿宋_GB2312"/>
          <w:sz w:val="32"/>
          <w:szCs w:val="32"/>
          <w:highlight w:val="none"/>
        </w:rPr>
        <w:t>，</w:t>
      </w:r>
      <w:r>
        <w:rPr>
          <w:rFonts w:hint="eastAsia" w:ascii="仿宋_GB2312" w:eastAsia="仿宋_GB2312"/>
          <w:sz w:val="32"/>
          <w:szCs w:val="32"/>
        </w:rPr>
        <w:t>在线填报申请书，提供通过该系统打印的申请书纸质文件原件。</w:t>
      </w:r>
    </w:p>
    <w:p>
      <w:pPr>
        <w:keepNext w:val="0"/>
        <w:keepLines w:val="0"/>
        <w:pageBreakBefore w:val="0"/>
        <w:kinsoku/>
        <w:wordWrap/>
        <w:overflowPunct/>
        <w:topLinePunct w:val="0"/>
        <w:autoSpaceDE/>
        <w:autoSpaceDN/>
        <w:bidi w:val="0"/>
        <w:spacing w:line="560"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（二）项目材料</w:t>
      </w:r>
    </w:p>
    <w:p>
      <w:pPr>
        <w:keepNext w:val="0"/>
        <w:keepLines w:val="0"/>
        <w:pageBreakBefore w:val="0"/>
        <w:kinsoku/>
        <w:wordWrap/>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.展位费</w:t>
      </w:r>
      <w:r>
        <w:rPr>
          <w:rFonts w:hint="eastAsia" w:ascii="仿宋_GB2312" w:eastAsia="仿宋_GB2312"/>
          <w:sz w:val="32"/>
          <w:szCs w:val="32"/>
        </w:rPr>
        <w:t>发票或单据复印件（验原件收复印件）</w:t>
      </w:r>
      <w:r>
        <w:rPr>
          <w:rFonts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招展通知、展位确认合同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各企业与组展单位签署的展位合同协议或展位申请表；</w:t>
      </w:r>
    </w:p>
    <w:p>
      <w:pPr>
        <w:keepNext w:val="0"/>
        <w:keepLines w:val="0"/>
        <w:pageBreakBefore w:val="0"/>
        <w:kinsoku/>
        <w:wordWrap/>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hint="eastAsia" w:ascii="仿宋_GB2312" w:eastAsia="仿宋_GB2312"/>
          <w:sz w:val="32"/>
          <w:szCs w:val="32"/>
        </w:rPr>
        <w:t>支付凭证复印件</w:t>
      </w:r>
      <w:r>
        <w:rPr>
          <w:rFonts w:hint="eastAsia" w:ascii="仿宋_GB2312" w:hAnsi="仿宋_GB2312" w:eastAsia="仿宋_GB2312" w:cs="仿宋_GB2312"/>
          <w:sz w:val="32"/>
          <w:szCs w:val="32"/>
        </w:rPr>
        <w:t>（验原件</w:t>
      </w:r>
      <w:r>
        <w:rPr>
          <w:rFonts w:hint="eastAsia" w:ascii="仿宋_GB2312" w:eastAsia="仿宋_GB2312"/>
          <w:sz w:val="32"/>
          <w:szCs w:val="32"/>
        </w:rPr>
        <w:t>收</w:t>
      </w:r>
      <w:r>
        <w:rPr>
          <w:rFonts w:hint="eastAsia" w:ascii="仿宋_GB2312" w:hAnsi="仿宋_GB2312" w:eastAsia="仿宋_GB2312" w:cs="仿宋_GB2312"/>
          <w:sz w:val="32"/>
          <w:szCs w:val="32"/>
        </w:rPr>
        <w:t>复印件）；</w:t>
      </w:r>
    </w:p>
    <w:p>
      <w:pPr>
        <w:keepNext w:val="0"/>
        <w:keepLines w:val="0"/>
        <w:pageBreakBefore w:val="0"/>
        <w:kinsoku/>
        <w:wordWrap/>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4.承办费单据</w:t>
      </w:r>
      <w:r>
        <w:rPr>
          <w:rFonts w:hint="default" w:ascii="仿宋_GB2312" w:hAnsi="仿宋_GB2312" w:eastAsia="仿宋_GB2312" w:cs="仿宋_GB2312"/>
          <w:sz w:val="32"/>
          <w:szCs w:val="32"/>
        </w:rPr>
        <w:t>（重点参展企业无需提供）</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.展会相关照片（A4纸彩色打印，并注明照片内容，包括但不限于展前培训</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中心展位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企业展位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参展人员及展品等照片）；</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展会绩效总结报告</w:t>
      </w:r>
      <w:r>
        <w:rPr>
          <w:rFonts w:ascii="仿宋_GB2312" w:hAnsi="仿宋_GB2312" w:eastAsia="仿宋_GB2312" w:cs="仿宋_GB2312"/>
          <w:sz w:val="32"/>
          <w:szCs w:val="32"/>
        </w:rPr>
        <w:t>，内容包括但不限于：</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（1）展览项目的总体情况，如规模、影响力、知名度和国际参与度，是否有利于深度拓展传统市场、开拓新兴市场以及推动产业发展；</w:t>
      </w:r>
    </w:p>
    <w:p>
      <w:pPr>
        <w:keepNext w:val="0"/>
        <w:keepLines w:val="0"/>
        <w:pageBreakBefore w:val="0"/>
        <w:kinsoku/>
        <w:wordWrap/>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（2）参展企业组织情况，包括</w:t>
      </w:r>
      <w:r>
        <w:rPr>
          <w:rFonts w:ascii="仿宋_GB2312" w:hAnsi="仿宋_GB2312" w:eastAsia="仿宋_GB2312" w:cs="仿宋_GB2312"/>
          <w:sz w:val="32"/>
          <w:szCs w:val="32"/>
        </w:rPr>
        <w:t>企业清单</w:t>
      </w:r>
      <w:r>
        <w:rPr>
          <w:rFonts w:hint="eastAsia" w:ascii="仿宋_GB2312" w:hAnsi="仿宋_GB2312" w:eastAsia="仿宋_GB2312" w:cs="仿宋_GB2312"/>
          <w:sz w:val="32"/>
          <w:szCs w:val="32"/>
        </w:rPr>
        <w:t>、参展企业构成、名优企业比例、企业展品是否具有自主知识产权；</w:t>
      </w:r>
    </w:p>
    <w:p>
      <w:pPr>
        <w:keepNext w:val="0"/>
        <w:keepLines w:val="0"/>
        <w:pageBreakBefore w:val="0"/>
        <w:kinsoku/>
        <w:wordWrap/>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）参展企业接待专业观众和客商的数量和质量，收集客户信息情况；</w:t>
      </w:r>
    </w:p>
    <w:p>
      <w:pPr>
        <w:keepNext w:val="0"/>
        <w:keepLines w:val="0"/>
        <w:pageBreakBefore w:val="0"/>
        <w:kinsoku/>
        <w:wordWrap/>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4</w:t>
      </w:r>
      <w:r>
        <w:rPr>
          <w:rFonts w:hint="eastAsia" w:ascii="仿宋_GB2312" w:hAnsi="仿宋_GB2312" w:eastAsia="仿宋_GB2312" w:cs="仿宋_GB2312"/>
          <w:sz w:val="32"/>
          <w:szCs w:val="32"/>
        </w:rPr>
        <w:t>）参展企业现场签订投资贸易和经济合作项目情况，意向协议统计情况和后续跟踪落实情况</w:t>
      </w:r>
      <w:r>
        <w:rPr>
          <w:rFonts w:hint="default" w:ascii="仿宋_GB2312" w:hAnsi="仿宋_GB2312" w:eastAsia="仿宋_GB2312" w:cs="仿宋_GB2312"/>
          <w:sz w:val="32"/>
          <w:szCs w:val="32"/>
        </w:rPr>
        <w:t>，</w:t>
      </w:r>
      <w:r>
        <w:rPr>
          <w:rFonts w:hint="default" w:ascii="仿宋_GB2312" w:eastAsia="仿宋_GB2312"/>
          <w:b w:val="0"/>
          <w:bCs w:val="0"/>
          <w:sz w:val="32"/>
          <w:szCs w:val="32"/>
        </w:rPr>
        <w:t>每家参展企业均提交《展会成效一览表》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5</w:t>
      </w:r>
      <w:r>
        <w:rPr>
          <w:rFonts w:hint="eastAsia" w:ascii="仿宋_GB2312" w:hAnsi="仿宋_GB2312" w:eastAsia="仿宋_GB2312" w:cs="仿宋_GB2312"/>
          <w:sz w:val="32"/>
          <w:szCs w:val="32"/>
        </w:rPr>
        <w:t>）深圳展团整体宣传效果和产品展示成果；</w:t>
      </w:r>
    </w:p>
    <w:p>
      <w:pPr>
        <w:keepNext w:val="0"/>
        <w:keepLines w:val="0"/>
        <w:pageBreakBefore w:val="0"/>
        <w:kinsoku/>
        <w:wordWrap/>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6</w:t>
      </w:r>
      <w:r>
        <w:rPr>
          <w:rFonts w:hint="eastAsia" w:ascii="仿宋_GB2312" w:hAnsi="仿宋_GB2312" w:eastAsia="仿宋_GB2312" w:cs="仿宋_GB2312"/>
          <w:sz w:val="32"/>
          <w:szCs w:val="32"/>
        </w:rPr>
        <w:t>）组展单位的组织管理</w:t>
      </w:r>
      <w:r>
        <w:rPr>
          <w:rFonts w:ascii="仿宋_GB2312" w:hAnsi="仿宋_GB2312" w:eastAsia="仿宋_GB2312" w:cs="仿宋_GB2312"/>
          <w:sz w:val="32"/>
          <w:szCs w:val="32"/>
        </w:rPr>
        <w:t>工作情况</w:t>
      </w:r>
      <w:r>
        <w:rPr>
          <w:rFonts w:hint="eastAsia" w:ascii="仿宋_GB2312" w:hAnsi="仿宋_GB2312" w:eastAsia="仿宋_GB2312" w:cs="仿宋_GB2312"/>
          <w:sz w:val="32"/>
          <w:szCs w:val="32"/>
        </w:rPr>
        <w:t>和服务工作质量，包括</w:t>
      </w:r>
      <w:r>
        <w:rPr>
          <w:rFonts w:hint="eastAsia" w:ascii="仿宋_GB2312" w:eastAsia="仿宋_GB2312"/>
          <w:sz w:val="32"/>
          <w:szCs w:val="32"/>
        </w:rPr>
        <w:t>展前</w:t>
      </w:r>
      <w:r>
        <w:rPr>
          <w:rFonts w:ascii="仿宋_GB2312" w:eastAsia="仿宋_GB2312"/>
          <w:sz w:val="32"/>
          <w:szCs w:val="32"/>
        </w:rPr>
        <w:t>培训、</w:t>
      </w:r>
      <w:r>
        <w:rPr>
          <w:rFonts w:hint="eastAsia" w:ascii="仿宋_GB2312" w:eastAsia="仿宋_GB2312"/>
          <w:sz w:val="32"/>
          <w:szCs w:val="32"/>
        </w:rPr>
        <w:t>涉外</w:t>
      </w:r>
      <w:r>
        <w:rPr>
          <w:rFonts w:ascii="仿宋_GB2312" w:eastAsia="仿宋_GB2312"/>
          <w:sz w:val="32"/>
          <w:szCs w:val="32"/>
        </w:rPr>
        <w:t>安全教育和知识产权工作</w:t>
      </w:r>
      <w:r>
        <w:rPr>
          <w:rFonts w:hint="eastAsia" w:ascii="仿宋_GB2312" w:hAnsi="仿宋_GB2312" w:eastAsia="仿宋_GB2312" w:cs="仿宋_GB2312"/>
          <w:sz w:val="32"/>
          <w:szCs w:val="32"/>
        </w:rPr>
        <w:t>情况</w:t>
      </w:r>
      <w:r>
        <w:rPr>
          <w:rFonts w:hint="default" w:ascii="仿宋_GB2312" w:hAnsi="仿宋_GB2312" w:eastAsia="仿宋_GB2312" w:cs="仿宋_GB2312"/>
          <w:sz w:val="32"/>
          <w:szCs w:val="32"/>
        </w:rPr>
        <w:t>（重点参展企业无需提供）</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7</w:t>
      </w:r>
      <w:r>
        <w:rPr>
          <w:rFonts w:hint="eastAsia" w:ascii="仿宋_GB2312" w:hAnsi="仿宋_GB2312" w:eastAsia="仿宋_GB2312" w:cs="仿宋_GB2312"/>
          <w:sz w:val="32"/>
          <w:szCs w:val="32"/>
        </w:rPr>
        <w:t>）申报</w:t>
      </w:r>
      <w:r>
        <w:rPr>
          <w:rFonts w:ascii="仿宋_GB2312" w:hAnsi="仿宋_GB2312" w:eastAsia="仿宋_GB2312" w:cs="仿宋_GB2312"/>
          <w:sz w:val="32"/>
          <w:szCs w:val="32"/>
        </w:rPr>
        <w:t>组展计划</w:t>
      </w:r>
      <w:r>
        <w:rPr>
          <w:rFonts w:hint="eastAsia" w:ascii="仿宋_GB2312" w:hAnsi="仿宋_GB2312" w:eastAsia="仿宋_GB2312" w:cs="仿宋_GB2312"/>
          <w:sz w:val="32"/>
          <w:szCs w:val="32"/>
        </w:rPr>
        <w:t>执行情况</w:t>
      </w:r>
      <w:r>
        <w:rPr>
          <w:rFonts w:ascii="仿宋_GB2312" w:hAnsi="仿宋_GB2312" w:eastAsia="仿宋_GB2312" w:cs="仿宋_GB2312"/>
          <w:sz w:val="32"/>
          <w:szCs w:val="32"/>
        </w:rPr>
        <w:t>、存在问题和改进措施</w:t>
      </w:r>
      <w:r>
        <w:rPr>
          <w:rFonts w:hint="default" w:ascii="仿宋_GB2312" w:hAnsi="仿宋_GB2312" w:eastAsia="仿宋_GB2312" w:cs="仿宋_GB2312"/>
          <w:sz w:val="32"/>
          <w:szCs w:val="32"/>
        </w:rPr>
        <w:t>（重点参展企业无需提供）</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8</w:t>
      </w:r>
      <w:r>
        <w:rPr>
          <w:rFonts w:hint="eastAsia" w:ascii="仿宋_GB2312" w:hAnsi="仿宋_GB2312" w:eastAsia="仿宋_GB2312" w:cs="仿宋_GB2312"/>
          <w:sz w:val="32"/>
          <w:szCs w:val="32"/>
        </w:rPr>
        <w:t>）企业对组展单位的评价</w:t>
      </w:r>
      <w:r>
        <w:rPr>
          <w:rFonts w:hint="default" w:ascii="仿宋_GB2312" w:hAnsi="仿宋_GB2312" w:eastAsia="仿宋_GB2312" w:cs="仿宋_GB2312"/>
          <w:sz w:val="32"/>
          <w:szCs w:val="32"/>
        </w:rPr>
        <w:t>（重点参展企业无需提供）</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以上材料均需加盖申报单位公章，多页的还需加盖骑缝公章；涉及外文的，需提供中文翻译件；一式两份，A4纸正反面打印/复印，非空白页（含封面）需连续编写页码，装订成册（胶装）。外币单据材料折算人民币注明。</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bCs/>
          <w:kern w:val="0"/>
          <w:sz w:val="32"/>
          <w:szCs w:val="32"/>
        </w:rPr>
        <w:t>七、申请表格</w:t>
      </w:r>
    </w:p>
    <w:p>
      <w:pPr>
        <w:keepNext w:val="0"/>
        <w:keepLines w:val="0"/>
        <w:pageBreakBefore w:val="0"/>
        <w:kinsoku/>
        <w:wordWrap/>
        <w:overflowPunct/>
        <w:topLinePunct w:val="0"/>
        <w:autoSpaceDE/>
        <w:autoSpaceDN/>
        <w:bidi w:val="0"/>
        <w:spacing w:line="560" w:lineRule="exact"/>
        <w:ind w:firstLine="640" w:firstLineChars="200"/>
        <w:rPr>
          <w:rFonts w:ascii="仿宋_GB2312" w:hAnsi="黑体" w:eastAsia="仿宋_GB2312" w:cs="黑体"/>
          <w:sz w:val="32"/>
          <w:szCs w:val="32"/>
          <w:u w:val="single"/>
        </w:rPr>
      </w:pPr>
      <w:r>
        <w:rPr>
          <w:rFonts w:hint="eastAsia" w:ascii="仿宋_GB2312" w:eastAsia="仿宋_GB2312"/>
          <w:sz w:val="32"/>
          <w:szCs w:val="32"/>
        </w:rPr>
        <w:t>本指南第六条（一）规定登录广东政务服务网在线填报申请书，网址：</w:t>
      </w:r>
      <w:r>
        <w:rPr>
          <w:rFonts w:hint="eastAsia" w:ascii="仿宋_GB2312" w:hAnsi="黑体" w:eastAsia="仿宋_GB2312" w:cs="黑体"/>
          <w:sz w:val="32"/>
          <w:szCs w:val="32"/>
          <w:u w:val="single"/>
        </w:rPr>
        <w:t>http://www.gdzwfw.gov.cn/</w:t>
      </w:r>
      <w:r>
        <w:rPr>
          <w:rFonts w:hint="eastAsia" w:ascii="仿宋_GB2312" w:hAnsi="仿宋_GB2312" w:eastAsia="仿宋_GB2312" w:cs="仿宋_GB2312"/>
          <w:kern w:val="0"/>
          <w:sz w:val="32"/>
          <w:szCs w:val="32"/>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bCs/>
          <w:kern w:val="0"/>
          <w:sz w:val="32"/>
          <w:szCs w:val="32"/>
        </w:rPr>
        <w:t>八、申请受理机关</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（一）受理机关：深圳市商务局。</w:t>
      </w:r>
    </w:p>
    <w:p>
      <w:pPr>
        <w:keepNext w:val="0"/>
        <w:keepLines w:val="0"/>
        <w:pageBreakBefore w:val="0"/>
        <w:kinsoku/>
        <w:wordWrap/>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（二）受理时间：</w:t>
      </w:r>
    </w:p>
    <w:p>
      <w:pPr>
        <w:keepNext w:val="0"/>
        <w:keepLines w:val="0"/>
        <w:pageBreakBefore w:val="0"/>
        <w:kinsoku/>
        <w:wordWrap/>
        <w:overflowPunct/>
        <w:topLinePunct w:val="0"/>
        <w:autoSpaceDE/>
        <w:autoSpaceDN/>
        <w:bidi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1.网络填</w:t>
      </w:r>
      <w:r>
        <w:rPr>
          <w:rFonts w:hint="eastAsia" w:ascii="Times New Roman" w:hAnsi="Times New Roman" w:eastAsia="仿宋_GB2312"/>
          <w:sz w:val="32"/>
          <w:szCs w:val="32"/>
        </w:rPr>
        <w:t>报时间：</w:t>
      </w:r>
      <w:r>
        <w:rPr>
          <w:rFonts w:hint="eastAsia" w:ascii="仿宋_GB2312" w:hAnsi="宋体" w:eastAsia="仿宋_GB2312"/>
          <w:sz w:val="32"/>
          <w:szCs w:val="32"/>
        </w:rPr>
        <w:t>202</w:t>
      </w:r>
      <w:r>
        <w:rPr>
          <w:rFonts w:hint="default" w:ascii="仿宋_GB2312" w:hAnsi="宋体" w:eastAsia="仿宋_GB2312"/>
          <w:sz w:val="32"/>
          <w:szCs w:val="32"/>
        </w:rPr>
        <w:t>3</w:t>
      </w:r>
      <w:r>
        <w:rPr>
          <w:rFonts w:hint="eastAsia" w:ascii="仿宋_GB2312" w:hAnsi="宋体" w:eastAsia="仿宋_GB2312"/>
          <w:sz w:val="32"/>
          <w:szCs w:val="32"/>
        </w:rPr>
        <w:t>年</w:t>
      </w:r>
      <w:r>
        <w:rPr>
          <w:rFonts w:hint="default" w:ascii="仿宋_GB2312" w:hAnsi="宋体" w:eastAsia="仿宋_GB2312"/>
          <w:sz w:val="32"/>
          <w:szCs w:val="32"/>
        </w:rPr>
        <w:t>7</w:t>
      </w:r>
      <w:r>
        <w:rPr>
          <w:rFonts w:hint="eastAsia" w:ascii="仿宋_GB2312" w:hAnsi="宋体" w:eastAsia="仿宋_GB2312"/>
          <w:sz w:val="32"/>
          <w:szCs w:val="32"/>
        </w:rPr>
        <w:t>月</w:t>
      </w:r>
      <w:r>
        <w:rPr>
          <w:rFonts w:hint="default" w:ascii="仿宋_GB2312" w:hAnsi="宋体" w:eastAsia="仿宋_GB2312"/>
          <w:sz w:val="32"/>
          <w:szCs w:val="32"/>
        </w:rPr>
        <w:t>17</w:t>
      </w:r>
      <w:r>
        <w:rPr>
          <w:rFonts w:hint="eastAsia" w:ascii="仿宋_GB2312" w:hAnsi="宋体" w:eastAsia="仿宋_GB2312"/>
          <w:sz w:val="32"/>
          <w:szCs w:val="32"/>
        </w:rPr>
        <w:t>日9:00—202</w:t>
      </w:r>
      <w:r>
        <w:rPr>
          <w:rFonts w:hint="default" w:ascii="仿宋_GB2312" w:hAnsi="宋体" w:eastAsia="仿宋_GB2312"/>
          <w:sz w:val="32"/>
          <w:szCs w:val="32"/>
        </w:rPr>
        <w:t>3</w:t>
      </w:r>
      <w:r>
        <w:rPr>
          <w:rFonts w:hint="eastAsia" w:ascii="仿宋_GB2312" w:hAnsi="宋体" w:eastAsia="仿宋_GB2312"/>
          <w:sz w:val="32"/>
          <w:szCs w:val="32"/>
        </w:rPr>
        <w:t>年</w:t>
      </w:r>
      <w:r>
        <w:rPr>
          <w:rFonts w:hint="default" w:ascii="仿宋_GB2312" w:hAnsi="宋体" w:eastAsia="仿宋_GB2312"/>
          <w:sz w:val="32"/>
          <w:szCs w:val="32"/>
        </w:rPr>
        <w:t>7</w:t>
      </w:r>
      <w:r>
        <w:rPr>
          <w:rFonts w:hint="eastAsia" w:ascii="仿宋_GB2312" w:hAnsi="宋体" w:eastAsia="仿宋_GB2312"/>
          <w:sz w:val="32"/>
          <w:szCs w:val="32"/>
        </w:rPr>
        <w:t>月</w:t>
      </w:r>
      <w:r>
        <w:rPr>
          <w:rFonts w:hint="default" w:ascii="仿宋_GB2312" w:hAnsi="宋体" w:eastAsia="仿宋_GB2312"/>
          <w:sz w:val="32"/>
          <w:szCs w:val="32"/>
        </w:rPr>
        <w:t>28</w:t>
      </w:r>
      <w:r>
        <w:rPr>
          <w:rFonts w:hint="eastAsia" w:ascii="仿宋_GB2312" w:hAnsi="宋体" w:eastAsia="仿宋_GB2312"/>
          <w:sz w:val="32"/>
          <w:szCs w:val="32"/>
        </w:rPr>
        <w:t>日17:45;</w:t>
      </w:r>
    </w:p>
    <w:p>
      <w:pPr>
        <w:keepNext w:val="0"/>
        <w:keepLines w:val="0"/>
        <w:pageBreakBefore w:val="0"/>
        <w:kinsoku/>
        <w:wordWrap/>
        <w:overflowPunct/>
        <w:topLinePunct w:val="0"/>
        <w:autoSpaceDE/>
        <w:autoSpaceDN/>
        <w:bidi w:val="0"/>
        <w:spacing w:line="560" w:lineRule="exact"/>
        <w:ind w:firstLine="640" w:firstLineChars="200"/>
        <w:rPr>
          <w:rFonts w:ascii="Times New Roman" w:hAnsi="Times New Roman" w:eastAsia="仿宋_GB2312"/>
          <w:sz w:val="32"/>
          <w:szCs w:val="32"/>
        </w:rPr>
      </w:pPr>
      <w:r>
        <w:rPr>
          <w:rFonts w:hint="eastAsia" w:ascii="仿宋_GB2312" w:hAnsi="宋体" w:eastAsia="仿宋_GB2312"/>
          <w:sz w:val="32"/>
          <w:szCs w:val="32"/>
        </w:rPr>
        <w:t>2.纸质材料提交时间：202</w:t>
      </w:r>
      <w:r>
        <w:rPr>
          <w:rFonts w:hint="default" w:ascii="仿宋_GB2312" w:hAnsi="宋体" w:eastAsia="仿宋_GB2312"/>
          <w:sz w:val="32"/>
          <w:szCs w:val="32"/>
        </w:rPr>
        <w:t>3</w:t>
      </w:r>
      <w:r>
        <w:rPr>
          <w:rFonts w:hint="eastAsia" w:ascii="仿宋_GB2312" w:hAnsi="宋体" w:eastAsia="仿宋_GB2312"/>
          <w:sz w:val="32"/>
          <w:szCs w:val="32"/>
        </w:rPr>
        <w:t>年</w:t>
      </w:r>
      <w:r>
        <w:rPr>
          <w:rFonts w:hint="default" w:ascii="仿宋_GB2312" w:hAnsi="宋体" w:eastAsia="仿宋_GB2312"/>
          <w:sz w:val="32"/>
          <w:szCs w:val="32"/>
        </w:rPr>
        <w:t>7</w:t>
      </w:r>
      <w:r>
        <w:rPr>
          <w:rFonts w:hint="eastAsia" w:ascii="仿宋_GB2312" w:hAnsi="宋体" w:eastAsia="仿宋_GB2312"/>
          <w:sz w:val="32"/>
          <w:szCs w:val="32"/>
        </w:rPr>
        <w:t>月</w:t>
      </w:r>
      <w:r>
        <w:rPr>
          <w:rFonts w:hint="default" w:ascii="仿宋_GB2312" w:hAnsi="宋体" w:eastAsia="仿宋_GB2312"/>
          <w:sz w:val="32"/>
          <w:szCs w:val="32"/>
        </w:rPr>
        <w:t>17</w:t>
      </w:r>
      <w:r>
        <w:rPr>
          <w:rFonts w:hint="eastAsia" w:ascii="仿宋_GB2312" w:hAnsi="宋体" w:eastAsia="仿宋_GB2312"/>
          <w:sz w:val="32"/>
          <w:szCs w:val="32"/>
        </w:rPr>
        <w:t>日9:00—202</w:t>
      </w:r>
      <w:r>
        <w:rPr>
          <w:rFonts w:hint="default" w:ascii="仿宋_GB2312" w:hAnsi="宋体" w:eastAsia="仿宋_GB2312"/>
          <w:sz w:val="32"/>
          <w:szCs w:val="32"/>
        </w:rPr>
        <w:t>3</w:t>
      </w:r>
      <w:r>
        <w:rPr>
          <w:rFonts w:hint="eastAsia" w:ascii="仿宋_GB2312" w:hAnsi="宋体" w:eastAsia="仿宋_GB2312"/>
          <w:sz w:val="32"/>
          <w:szCs w:val="32"/>
        </w:rPr>
        <w:t>年</w:t>
      </w:r>
      <w:r>
        <w:rPr>
          <w:rFonts w:hint="default" w:ascii="仿宋_GB2312" w:hAnsi="宋体" w:eastAsia="仿宋_GB2312"/>
          <w:sz w:val="32"/>
          <w:szCs w:val="32"/>
        </w:rPr>
        <w:t>8</w:t>
      </w:r>
      <w:r>
        <w:rPr>
          <w:rFonts w:hint="eastAsia" w:ascii="仿宋_GB2312" w:hAnsi="宋体" w:eastAsia="仿宋_GB2312"/>
          <w:sz w:val="32"/>
          <w:szCs w:val="32"/>
        </w:rPr>
        <w:t>月</w:t>
      </w:r>
      <w:r>
        <w:rPr>
          <w:rFonts w:hint="default" w:ascii="仿宋_GB2312" w:hAnsi="宋体" w:eastAsia="仿宋_GB2312"/>
          <w:sz w:val="32"/>
          <w:szCs w:val="32"/>
        </w:rPr>
        <w:t>4</w:t>
      </w:r>
      <w:r>
        <w:rPr>
          <w:rFonts w:hint="eastAsia" w:ascii="仿宋_GB2312" w:hAnsi="宋体" w:eastAsia="仿宋_GB2312"/>
          <w:sz w:val="32"/>
          <w:szCs w:val="32"/>
        </w:rPr>
        <w:t>日17:45；</w:t>
      </w:r>
    </w:p>
    <w:p>
      <w:pPr>
        <w:keepNext w:val="0"/>
        <w:keepLines w:val="0"/>
        <w:pageBreakBefore w:val="0"/>
        <w:kinsoku/>
        <w:wordWrap/>
        <w:overflowPunct/>
        <w:topLinePunct w:val="0"/>
        <w:autoSpaceDE/>
        <w:autoSpaceDN/>
        <w:bidi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申报单位在上述规定时间内在线填报、提交材料，逾期不予受理。</w:t>
      </w:r>
    </w:p>
    <w:p>
      <w:pPr>
        <w:keepNext w:val="0"/>
        <w:keepLines w:val="0"/>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（三）受理地点：深圳市福田区福中三路市民中心B区市行政服务大厅西厅综合窗口。</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rPr>
          <w:rFonts w:ascii="仿宋_GB2312" w:eastAsia="仿宋_GB2312"/>
          <w:sz w:val="32"/>
          <w:szCs w:val="32"/>
        </w:rPr>
      </w:pPr>
      <w:r>
        <w:rPr>
          <w:rFonts w:hint="eastAsia" w:ascii="仿宋_GB2312" w:hAnsi="仿宋_GB2312" w:eastAsia="仿宋_GB2312" w:cs="仿宋_GB2312"/>
          <w:kern w:val="0"/>
          <w:sz w:val="32"/>
          <w:szCs w:val="32"/>
        </w:rPr>
        <w:t>（四）</w:t>
      </w:r>
      <w:r>
        <w:rPr>
          <w:rFonts w:hint="eastAsia" w:ascii="仿宋_GB2312" w:hAnsi="宋体" w:eastAsia="仿宋_GB2312" w:cs="宋体"/>
          <w:kern w:val="0"/>
          <w:sz w:val="32"/>
          <w:szCs w:val="32"/>
        </w:rPr>
        <w:t>咨询电话：0755-</w:t>
      </w:r>
      <w:r>
        <w:rPr>
          <w:rFonts w:hint="default" w:ascii="仿宋_GB2312" w:hAnsi="宋体" w:eastAsia="仿宋_GB2312" w:cs="宋体"/>
          <w:kern w:val="0"/>
          <w:sz w:val="32"/>
          <w:szCs w:val="32"/>
        </w:rPr>
        <w:t>88102014，</w:t>
      </w:r>
      <w:r>
        <w:rPr>
          <w:rFonts w:hint="eastAsia" w:ascii="仿宋_GB2312" w:hAnsi="宋体" w:eastAsia="仿宋_GB2312" w:cs="宋体"/>
          <w:kern w:val="0"/>
          <w:sz w:val="32"/>
          <w:szCs w:val="32"/>
        </w:rPr>
        <w:t>23481710；系统技术服务电话：0755-88102445</w:t>
      </w:r>
      <w:r>
        <w:rPr>
          <w:rFonts w:hint="eastAsia" w:ascii="仿宋_GB2312" w:eastAsia="仿宋_GB2312"/>
          <w:sz w:val="32"/>
          <w:szCs w:val="32"/>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bCs/>
          <w:kern w:val="0"/>
          <w:sz w:val="32"/>
          <w:szCs w:val="32"/>
        </w:rPr>
        <w:t>九、申请决定机关</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深圳市商务局。</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bCs/>
          <w:kern w:val="0"/>
          <w:sz w:val="32"/>
          <w:szCs w:val="32"/>
        </w:rPr>
        <w:t>十、办理流程</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发布申</w:t>
      </w:r>
      <w:r>
        <w:rPr>
          <w:rFonts w:ascii="仿宋_GB2312" w:hAnsi="宋体" w:eastAsia="仿宋_GB2312"/>
          <w:sz w:val="32"/>
          <w:szCs w:val="32"/>
        </w:rPr>
        <w:t>报</w:t>
      </w:r>
      <w:r>
        <w:rPr>
          <w:rFonts w:hint="eastAsia" w:ascii="仿宋_GB2312" w:hAnsi="宋体" w:eastAsia="仿宋_GB2312"/>
          <w:sz w:val="32"/>
          <w:szCs w:val="32"/>
        </w:rPr>
        <w:t>指南——</w:t>
      </w:r>
      <w:r>
        <w:rPr>
          <w:rFonts w:hint="eastAsia" w:ascii="仿宋_GB2312" w:eastAsia="仿宋_GB2312"/>
          <w:sz w:val="32"/>
          <w:szCs w:val="32"/>
        </w:rPr>
        <w:t>申报单位网上申报——初审——申报单位向市行政服务大厅收文窗口提交申请材料——形式审查——资质审查——专项审计——征求相关单位意见（</w:t>
      </w:r>
      <w:r>
        <w:rPr>
          <w:rFonts w:hint="eastAsia" w:ascii="仿宋_GB2312" w:hAnsi="仿宋" w:eastAsia="仿宋_GB2312"/>
          <w:sz w:val="32"/>
          <w:szCs w:val="32"/>
        </w:rPr>
        <w:t>根据需要核查比对：资质情况，有无重大违法违规行为</w:t>
      </w:r>
      <w:r>
        <w:rPr>
          <w:rFonts w:hint="default" w:ascii="仿宋_GB2312" w:hAnsi="仿宋" w:eastAsia="仿宋_GB2312"/>
          <w:sz w:val="32"/>
          <w:szCs w:val="32"/>
        </w:rPr>
        <w:t>，有无</w:t>
      </w:r>
      <w:r>
        <w:rPr>
          <w:rFonts w:hint="eastAsia" w:ascii="仿宋_GB2312" w:eastAsia="仿宋_GB2312"/>
          <w:sz w:val="32"/>
          <w:szCs w:val="32"/>
        </w:rPr>
        <w:t>被列入失信联合惩戒名单</w:t>
      </w:r>
      <w:r>
        <w:rPr>
          <w:rFonts w:hint="default" w:ascii="仿宋_GB2312" w:eastAsia="仿宋_GB2312"/>
          <w:sz w:val="32"/>
          <w:szCs w:val="32"/>
          <w:lang w:eastAsia="zh-CN"/>
        </w:rPr>
        <w:t>，</w:t>
      </w:r>
      <w:r>
        <w:rPr>
          <w:rFonts w:hint="default" w:ascii="仿宋_GB2312" w:hAnsi="仿宋" w:eastAsia="仿宋_GB2312"/>
          <w:sz w:val="32"/>
          <w:szCs w:val="32"/>
          <w:lang w:eastAsia="zh-CN"/>
        </w:rPr>
        <w:t>有无</w:t>
      </w:r>
      <w:r>
        <w:rPr>
          <w:rFonts w:hint="eastAsia" w:ascii="仿宋_GB2312" w:hAnsi="仿宋" w:eastAsia="仿宋_GB2312"/>
          <w:sz w:val="32"/>
          <w:szCs w:val="32"/>
          <w:lang w:eastAsia="zh-CN"/>
        </w:rPr>
        <w:t>以同一事项重复或多头申报市级专项资金</w:t>
      </w:r>
      <w:r>
        <w:rPr>
          <w:rFonts w:hint="eastAsia" w:ascii="仿宋_GB2312" w:hAnsi="仿宋" w:eastAsia="仿宋_GB2312"/>
          <w:sz w:val="32"/>
          <w:szCs w:val="32"/>
        </w:rPr>
        <w:t>等情</w:t>
      </w:r>
      <w:r>
        <w:rPr>
          <w:rFonts w:hint="default" w:ascii="仿宋_GB2312" w:hAnsi="仿宋" w:eastAsia="仿宋_GB2312"/>
          <w:sz w:val="32"/>
          <w:szCs w:val="32"/>
        </w:rPr>
        <w:t>况</w:t>
      </w:r>
      <w:r>
        <w:rPr>
          <w:rFonts w:hint="eastAsia" w:ascii="仿宋_GB2312" w:eastAsia="仿宋_GB2312"/>
          <w:sz w:val="32"/>
          <w:szCs w:val="32"/>
        </w:rPr>
        <w:t>）——</w:t>
      </w:r>
      <w:r>
        <w:rPr>
          <w:rFonts w:hint="eastAsia" w:ascii="仿宋_GB2312" w:hAnsi="宋体" w:eastAsia="仿宋_GB2312" w:cs="宋体"/>
          <w:kern w:val="0"/>
          <w:sz w:val="32"/>
          <w:szCs w:val="32"/>
        </w:rPr>
        <w:t>核定资助计划</w:t>
      </w:r>
      <w:r>
        <w:rPr>
          <w:rFonts w:hint="eastAsia" w:ascii="仿宋_GB2312" w:eastAsia="仿宋_GB2312"/>
          <w:sz w:val="32"/>
          <w:szCs w:val="32"/>
        </w:rPr>
        <w:t>——社会公示——申报单位办理拨款手续——拨付资金</w:t>
      </w:r>
      <w:r>
        <w:rPr>
          <w:rFonts w:hint="eastAsia" w:ascii="仿宋_GB2312" w:hAnsi="宋体" w:eastAsia="仿宋_GB2312"/>
          <w:sz w:val="32"/>
          <w:szCs w:val="32"/>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bCs/>
          <w:kern w:val="0"/>
          <w:sz w:val="32"/>
          <w:szCs w:val="32"/>
        </w:rPr>
        <w:t>十一、办理时限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rPr>
          <w:rFonts w:ascii="仿宋_GB2312" w:hAnsi="宋体" w:eastAsia="仿宋_GB2312"/>
          <w:sz w:val="32"/>
          <w:szCs w:val="32"/>
        </w:rPr>
      </w:pPr>
      <w:r>
        <w:rPr>
          <w:rFonts w:ascii="仿宋_GB2312" w:hAnsi="宋体" w:eastAsia="仿宋_GB2312"/>
          <w:sz w:val="32"/>
          <w:szCs w:val="32"/>
        </w:rPr>
        <w:t>180个工作日</w:t>
      </w:r>
      <w:r>
        <w:rPr>
          <w:rFonts w:hint="eastAsia" w:ascii="仿宋_GB2312" w:eastAsia="仿宋_GB2312"/>
          <w:sz w:val="32"/>
          <w:szCs w:val="32"/>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bCs/>
          <w:kern w:val="0"/>
          <w:sz w:val="32"/>
          <w:szCs w:val="32"/>
        </w:rPr>
        <w:t>十二、证件及有效期限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证件：无</w:t>
      </w:r>
      <w:r>
        <w:rPr>
          <w:rFonts w:ascii="仿宋_GB2312" w:hAnsi="宋体" w:eastAsia="仿宋_GB2312"/>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sz w:val="32"/>
          <w:szCs w:val="32"/>
        </w:rPr>
        <w:t>有效期限：</w:t>
      </w:r>
      <w:r>
        <w:rPr>
          <w:rFonts w:ascii="仿宋_GB2312" w:hAnsi="宋体" w:eastAsia="仿宋_GB2312" w:cs="宋体"/>
          <w:kern w:val="0"/>
          <w:sz w:val="32"/>
          <w:szCs w:val="32"/>
        </w:rPr>
        <w:t>无</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bCs/>
          <w:kern w:val="0"/>
          <w:sz w:val="32"/>
          <w:szCs w:val="32"/>
        </w:rPr>
        <w:t>十三、证件的法律效力</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无</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bCs/>
          <w:kern w:val="0"/>
          <w:sz w:val="32"/>
          <w:szCs w:val="32"/>
        </w:rPr>
        <w:t>十四、收费</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bCs/>
          <w:kern w:val="0"/>
          <w:sz w:val="32"/>
          <w:szCs w:val="32"/>
        </w:rPr>
        <w:t>十五、年审或年检</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pPr>
        <w:keepNext w:val="0"/>
        <w:keepLines w:val="0"/>
        <w:pageBreakBefore w:val="0"/>
        <w:numPr>
          <w:ilvl w:val="0"/>
          <w:numId w:val="2"/>
        </w:numPr>
        <w:kinsoku/>
        <w:wordWrap/>
        <w:overflowPunct/>
        <w:topLinePunct w:val="0"/>
        <w:autoSpaceDE/>
        <w:autoSpaceDN/>
        <w:bidi w:val="0"/>
        <w:spacing w:line="560" w:lineRule="exact"/>
        <w:ind w:firstLine="640" w:firstLineChars="200"/>
        <w:rPr>
          <w:rFonts w:ascii="黑体" w:hAnsi="黑体" w:eastAsia="黑体"/>
          <w:sz w:val="32"/>
          <w:szCs w:val="32"/>
        </w:rPr>
      </w:pPr>
      <w:r>
        <w:rPr>
          <w:rFonts w:hint="eastAsia" w:ascii="黑体" w:hAnsi="黑体" w:eastAsia="黑体"/>
          <w:sz w:val="32"/>
          <w:szCs w:val="32"/>
        </w:rPr>
        <w:t>补充说明</w:t>
      </w:r>
    </w:p>
    <w:p>
      <w:pPr>
        <w:keepNext w:val="0"/>
        <w:keepLines w:val="0"/>
        <w:pageBreakBefore w:val="0"/>
        <w:kinsoku/>
        <w:wordWrap/>
        <w:overflowPunct/>
        <w:topLinePunct w:val="0"/>
        <w:autoSpaceDE/>
        <w:autoSpaceDN/>
        <w:bidi w:val="0"/>
        <w:spacing w:line="560" w:lineRule="exact"/>
        <w:ind w:firstLine="640" w:firstLineChars="200"/>
        <w:contextualSpacing/>
        <w:rPr>
          <w:rFonts w:ascii="黑体" w:hAnsi="黑体" w:eastAsia="仿宋_GB2312"/>
          <w:sz w:val="32"/>
          <w:szCs w:val="32"/>
        </w:rPr>
      </w:pPr>
      <w:r>
        <w:rPr>
          <w:rFonts w:hint="eastAsia" w:ascii="仿宋_GB2312" w:eastAsia="仿宋_GB2312"/>
          <w:sz w:val="32"/>
          <w:szCs w:val="32"/>
        </w:rPr>
        <w:t>（一）已经获得同类奖励的项目不得重复申报，经核实属重复申报或多头申报的项目，将取消该单位的申报资格并追究责任。</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我局从未委托任何单位和个人为申报单位代理专项资金扶持计划项目申报事宜。请相关企业自主申报。我局将严格按照有关标准和程序受理申请，不收取任何费用。如有任何中介机构和个人假借我局和工作人员名义向企业收取费用的，请知情者即向我局举报。</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eastAsia="仿宋_GB2312"/>
          <w:sz w:val="32"/>
          <w:szCs w:val="32"/>
        </w:rPr>
      </w:pPr>
    </w:p>
    <w:p>
      <w:pPr>
        <w:keepNext w:val="0"/>
        <w:keepLines w:val="0"/>
        <w:pageBreakBefore w:val="0"/>
        <w:kinsoku/>
        <w:wordWrap/>
        <w:overflowPunct/>
        <w:topLinePunct w:val="0"/>
        <w:autoSpaceDE/>
        <w:autoSpaceDN/>
        <w:bidi w:val="0"/>
        <w:spacing w:line="560" w:lineRule="exact"/>
        <w:ind w:firstLine="640" w:firstLineChars="200"/>
        <w:rPr>
          <w:rFonts w:hint="default" w:ascii="仿宋_GB2312" w:eastAsia="仿宋_GB2312"/>
          <w:sz w:val="32"/>
          <w:szCs w:val="32"/>
        </w:rPr>
      </w:pPr>
      <w:r>
        <w:rPr>
          <w:rFonts w:hint="default" w:ascii="仿宋_GB2312" w:eastAsia="仿宋_GB2312"/>
          <w:sz w:val="32"/>
          <w:szCs w:val="32"/>
        </w:rPr>
        <w:t>附件：展会成效一览表（展会名称）</w:t>
      </w:r>
    </w:p>
    <w:p>
      <w:pPr>
        <w:spacing w:line="560" w:lineRule="exact"/>
        <w:rPr>
          <w:rFonts w:hint="eastAsia" w:ascii="黑体" w:hAnsi="黑体" w:eastAsia="黑体" w:cs="黑体"/>
          <w:b w:val="0"/>
          <w:bCs w:val="0"/>
          <w:sz w:val="32"/>
          <w:szCs w:val="32"/>
        </w:rPr>
      </w:pPr>
      <w:r>
        <w:br w:type="page"/>
      </w:r>
      <w:r>
        <w:rPr>
          <w:rFonts w:hint="eastAsia" w:ascii="黑体" w:hAnsi="黑体" w:eastAsia="黑体" w:cs="黑体"/>
          <w:b w:val="0"/>
          <w:bCs w:val="0"/>
          <w:sz w:val="32"/>
          <w:szCs w:val="32"/>
        </w:rPr>
        <w:t>附件</w:t>
      </w:r>
    </w:p>
    <w:p>
      <w:pPr>
        <w:pStyle w:val="4"/>
        <w:keepNext w:val="0"/>
        <w:keepLines w:val="0"/>
        <w:pageBreakBefore w:val="0"/>
        <w:kinsoku/>
        <w:wordWrap/>
        <w:overflowPunct/>
        <w:topLinePunct w:val="0"/>
        <w:autoSpaceDE/>
        <w:autoSpaceDN/>
        <w:bidi w:val="0"/>
        <w:spacing w:line="560" w:lineRule="exact"/>
        <w:jc w:val="center"/>
        <w:rPr>
          <w:rFonts w:hint="default" w:ascii="宋体" w:hAnsi="宋体" w:cs="宋体"/>
          <w:kern w:val="0"/>
          <w:sz w:val="24"/>
          <w:szCs w:val="24"/>
        </w:rPr>
      </w:pPr>
      <w:r>
        <w:rPr>
          <w:rFonts w:hint="default" w:ascii="宋体" w:hAnsi="宋体" w:cs="宋体"/>
          <w:b/>
          <w:bCs/>
          <w:sz w:val="42"/>
          <w:szCs w:val="42"/>
        </w:rPr>
        <w:t>展会成效一览</w:t>
      </w:r>
      <w:r>
        <w:rPr>
          <w:rFonts w:hint="eastAsia" w:ascii="宋体" w:hAnsi="宋体" w:cs="宋体"/>
          <w:b/>
          <w:bCs/>
          <w:sz w:val="42"/>
          <w:szCs w:val="42"/>
        </w:rPr>
        <w:t>表</w:t>
      </w:r>
      <w:r>
        <w:rPr>
          <w:rFonts w:hint="default" w:ascii="宋体" w:hAnsi="宋体" w:cs="宋体"/>
          <w:b/>
          <w:bCs/>
          <w:sz w:val="42"/>
          <w:szCs w:val="42"/>
        </w:rPr>
        <w:t>（展会名称）</w:t>
      </w:r>
    </w:p>
    <w:tbl>
      <w:tblPr>
        <w:tblStyle w:val="8"/>
        <w:tblpPr w:leftFromText="180" w:rightFromText="180" w:vertAnchor="text" w:horzAnchor="page" w:tblpX="1495" w:tblpY="325"/>
        <w:tblOverlap w:val="never"/>
        <w:tblW w:w="5349" w:type="pct"/>
        <w:tblInd w:w="0" w:type="dxa"/>
        <w:tblLayout w:type="fixed"/>
        <w:tblCellMar>
          <w:top w:w="0" w:type="dxa"/>
          <w:left w:w="108" w:type="dxa"/>
          <w:bottom w:w="0" w:type="dxa"/>
          <w:right w:w="108" w:type="dxa"/>
        </w:tblCellMar>
      </w:tblPr>
      <w:tblGrid>
        <w:gridCol w:w="2410"/>
        <w:gridCol w:w="701"/>
        <w:gridCol w:w="1770"/>
        <w:gridCol w:w="1020"/>
        <w:gridCol w:w="1971"/>
        <w:gridCol w:w="1244"/>
      </w:tblGrid>
      <w:tr>
        <w:tblPrEx>
          <w:tblCellMar>
            <w:top w:w="0" w:type="dxa"/>
            <w:left w:w="108" w:type="dxa"/>
            <w:bottom w:w="0" w:type="dxa"/>
            <w:right w:w="108" w:type="dxa"/>
          </w:tblCellMar>
        </w:tblPrEx>
        <w:trPr>
          <w:trHeight w:val="633" w:hRule="atLeast"/>
        </w:trPr>
        <w:tc>
          <w:tcPr>
            <w:tcW w:w="5000" w:type="pct"/>
            <w:gridSpan w:val="6"/>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宋体" w:hAnsi="宋体" w:eastAsia="宋体" w:cs="宋体"/>
                <w:sz w:val="24"/>
                <w:szCs w:val="24"/>
              </w:rPr>
            </w:pPr>
            <w:r>
              <w:rPr>
                <w:rFonts w:hint="eastAsia" w:ascii="宋体" w:hAnsi="宋体" w:eastAsia="宋体" w:cs="宋体"/>
                <w:sz w:val="24"/>
                <w:szCs w:val="24"/>
              </w:rPr>
              <w:t>单位</w:t>
            </w:r>
            <w:r>
              <w:rPr>
                <w:rFonts w:hint="default" w:ascii="宋体" w:hAnsi="宋体" w:eastAsia="宋体" w:cs="宋体"/>
                <w:sz w:val="24"/>
                <w:szCs w:val="24"/>
              </w:rPr>
              <w:t>名称</w:t>
            </w:r>
            <w:r>
              <w:rPr>
                <w:rFonts w:hint="eastAsia" w:ascii="宋体" w:hAnsi="宋体" w:eastAsia="宋体" w:cs="宋体"/>
                <w:sz w:val="24"/>
                <w:szCs w:val="24"/>
              </w:rPr>
              <w:t>：xx公司（加盖公章）</w:t>
            </w:r>
          </w:p>
        </w:tc>
      </w:tr>
      <w:tr>
        <w:tblPrEx>
          <w:tblCellMar>
            <w:top w:w="0" w:type="dxa"/>
            <w:left w:w="108" w:type="dxa"/>
            <w:bottom w:w="0" w:type="dxa"/>
            <w:right w:w="108" w:type="dxa"/>
          </w:tblCellMar>
        </w:tblPrEx>
        <w:trPr>
          <w:trHeight w:val="733"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参展情况</w:t>
            </w:r>
          </w:p>
        </w:tc>
      </w:tr>
      <w:tr>
        <w:tblPrEx>
          <w:tblCellMar>
            <w:top w:w="0" w:type="dxa"/>
            <w:left w:w="108" w:type="dxa"/>
            <w:bottom w:w="0" w:type="dxa"/>
            <w:right w:w="108" w:type="dxa"/>
          </w:tblCellMar>
        </w:tblPrEx>
        <w:trPr>
          <w:trHeight w:val="942" w:hRule="atLeast"/>
        </w:trPr>
        <w:tc>
          <w:tcPr>
            <w:tcW w:w="13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展会时间</w:t>
            </w:r>
          </w:p>
        </w:tc>
        <w:tc>
          <w:tcPr>
            <w:tcW w:w="1914"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560" w:lineRule="exact"/>
              <w:jc w:val="left"/>
              <w:textAlignment w:val="center"/>
              <w:rPr>
                <w:rStyle w:val="10"/>
                <w:rFonts w:hint="eastAsia"/>
                <w:color w:val="auto"/>
                <w:sz w:val="24"/>
                <w:szCs w:val="24"/>
                <w:lang w:bidi="ar"/>
              </w:rPr>
            </w:pPr>
            <w:r>
              <w:rPr>
                <w:rFonts w:hint="eastAsia" w:ascii="宋体" w:hAnsi="宋体" w:eastAsia="宋体" w:cs="宋体"/>
                <w:color w:val="auto"/>
                <w:kern w:val="0"/>
                <w:sz w:val="24"/>
                <w:szCs w:val="24"/>
                <w:lang w:bidi="ar"/>
              </w:rPr>
              <w:t xml:space="preserve">  年  月  日</w:t>
            </w:r>
            <w:r>
              <w:rPr>
                <w:rStyle w:val="10"/>
                <w:rFonts w:hint="eastAsia"/>
                <w:color w:val="auto"/>
                <w:sz w:val="24"/>
                <w:szCs w:val="24"/>
                <w:lang w:bidi="ar"/>
              </w:rPr>
              <w:t>至</w:t>
            </w:r>
            <w:r>
              <w:rPr>
                <w:rStyle w:val="10"/>
                <w:color w:val="auto"/>
                <w:sz w:val="24"/>
                <w:szCs w:val="24"/>
                <w:lang w:bidi="ar"/>
              </w:rPr>
              <w:t xml:space="preserve">  </w:t>
            </w:r>
            <w:r>
              <w:rPr>
                <w:rFonts w:hint="eastAsia" w:ascii="宋体" w:hAnsi="宋体" w:eastAsia="宋体" w:cs="宋体"/>
                <w:color w:val="auto"/>
                <w:kern w:val="0"/>
                <w:sz w:val="24"/>
                <w:szCs w:val="24"/>
                <w:lang w:bidi="ar"/>
              </w:rPr>
              <w:t>年  月  日，</w:t>
            </w:r>
            <w:r>
              <w:rPr>
                <w:rStyle w:val="10"/>
                <w:rFonts w:hint="eastAsia"/>
                <w:color w:val="auto"/>
                <w:sz w:val="24"/>
                <w:szCs w:val="24"/>
                <w:lang w:bidi="ar"/>
              </w:rPr>
              <w:t>共</w:t>
            </w:r>
          </w:p>
          <w:p>
            <w:pPr>
              <w:keepNext w:val="0"/>
              <w:keepLines w:val="0"/>
              <w:pageBreakBefore w:val="0"/>
              <w:widowControl/>
              <w:kinsoku/>
              <w:wordWrap/>
              <w:overflowPunct/>
              <w:topLinePunct w:val="0"/>
              <w:autoSpaceDE/>
              <w:autoSpaceDN/>
              <w:bidi w:val="0"/>
              <w:spacing w:line="560" w:lineRule="exact"/>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 </w:t>
            </w:r>
            <w:r>
              <w:rPr>
                <w:rStyle w:val="11"/>
                <w:rFonts w:hint="eastAsia"/>
                <w:color w:val="auto"/>
                <w:sz w:val="24"/>
                <w:szCs w:val="24"/>
                <w:lang w:bidi="ar"/>
              </w:rPr>
              <w:t xml:space="preserve">     </w:t>
            </w:r>
            <w:r>
              <w:rPr>
                <w:rStyle w:val="10"/>
                <w:rFonts w:hint="eastAsia"/>
                <w:color w:val="auto"/>
                <w:sz w:val="24"/>
                <w:szCs w:val="24"/>
                <w:lang w:bidi="ar"/>
              </w:rPr>
              <w:t xml:space="preserve"> 天</w:t>
            </w:r>
          </w:p>
        </w:tc>
        <w:tc>
          <w:tcPr>
            <w:tcW w:w="1080" w:type="pct"/>
            <w:tcBorders>
              <w:top w:val="single" w:color="000000" w:sz="4" w:space="0"/>
              <w:left w:val="nil"/>
              <w:bottom w:val="single" w:color="000000" w:sz="4" w:space="0"/>
              <w:right w:val="nil"/>
            </w:tcBorders>
            <w:noWrap/>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default" w:ascii="宋体" w:hAnsi="宋体" w:eastAsia="宋体" w:cs="宋体"/>
                <w:color w:val="000000"/>
                <w:sz w:val="24"/>
                <w:szCs w:val="24"/>
              </w:rPr>
            </w:pPr>
            <w:r>
              <w:rPr>
                <w:rFonts w:hint="eastAsia" w:ascii="宋体" w:hAnsi="宋体" w:eastAsia="宋体" w:cs="宋体"/>
                <w:color w:val="000000"/>
                <w:kern w:val="0"/>
                <w:sz w:val="24"/>
                <w:szCs w:val="24"/>
                <w:lang w:bidi="ar"/>
              </w:rPr>
              <w:t>展览所在国</w:t>
            </w:r>
            <w:r>
              <w:rPr>
                <w:rFonts w:hint="default" w:ascii="宋体" w:hAnsi="宋体" w:eastAsia="宋体" w:cs="宋体"/>
                <w:color w:val="000000"/>
                <w:kern w:val="0"/>
                <w:sz w:val="24"/>
                <w:szCs w:val="24"/>
                <w:lang w:bidi="ar"/>
              </w:rPr>
              <w:t>家（地区）</w:t>
            </w:r>
          </w:p>
        </w:tc>
        <w:tc>
          <w:tcPr>
            <w:tcW w:w="6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560" w:lineRule="exact"/>
              <w:jc w:val="left"/>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942" w:hRule="atLeast"/>
        </w:trPr>
        <w:tc>
          <w:tcPr>
            <w:tcW w:w="13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接待专业观众数量</w:t>
            </w:r>
          </w:p>
        </w:tc>
        <w:tc>
          <w:tcPr>
            <w:tcW w:w="1914"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auto"/>
                <w:kern w:val="0"/>
                <w:sz w:val="24"/>
                <w:szCs w:val="24"/>
                <w:lang w:bidi="ar"/>
              </w:rPr>
              <w:t xml:space="preserve"> </w:t>
            </w:r>
            <w:r>
              <w:rPr>
                <w:rStyle w:val="11"/>
                <w:rFonts w:hint="eastAsia"/>
                <w:color w:val="auto"/>
                <w:sz w:val="24"/>
                <w:szCs w:val="24"/>
                <w:lang w:bidi="ar"/>
              </w:rPr>
              <w:t xml:space="preserve">     </w:t>
            </w:r>
            <w:r>
              <w:rPr>
                <w:rStyle w:val="10"/>
                <w:rFonts w:hint="eastAsia"/>
                <w:color w:val="auto"/>
                <w:sz w:val="24"/>
                <w:szCs w:val="24"/>
                <w:lang w:bidi="ar"/>
              </w:rPr>
              <w:t xml:space="preserve"> </w:t>
            </w:r>
            <w:r>
              <w:rPr>
                <w:rStyle w:val="10"/>
                <w:rFonts w:hint="eastAsia" w:ascii="宋体"/>
                <w:color w:val="auto"/>
                <w:sz w:val="24"/>
                <w:szCs w:val="24"/>
                <w:lang w:bidi="ar"/>
              </w:rPr>
              <w:t>家</w:t>
            </w:r>
            <w:r>
              <w:rPr>
                <w:rFonts w:hint="eastAsia" w:ascii="宋体" w:hAnsi="宋体" w:eastAsia="宋体" w:cs="宋体"/>
                <w:color w:val="auto"/>
                <w:kern w:val="0"/>
                <w:sz w:val="24"/>
                <w:szCs w:val="24"/>
                <w:lang w:bidi="ar"/>
              </w:rPr>
              <w:t xml:space="preserve"> </w:t>
            </w:r>
            <w:r>
              <w:rPr>
                <w:rStyle w:val="11"/>
                <w:rFonts w:hint="eastAsia"/>
                <w:color w:val="auto"/>
                <w:sz w:val="24"/>
                <w:szCs w:val="24"/>
                <w:lang w:bidi="ar"/>
              </w:rPr>
              <w:t xml:space="preserve">     </w:t>
            </w:r>
            <w:r>
              <w:rPr>
                <w:rStyle w:val="10"/>
                <w:rFonts w:hint="eastAsia"/>
                <w:color w:val="auto"/>
                <w:sz w:val="24"/>
                <w:szCs w:val="24"/>
                <w:lang w:bidi="ar"/>
              </w:rPr>
              <w:t xml:space="preserve"> </w:t>
            </w:r>
            <w:r>
              <w:rPr>
                <w:rStyle w:val="10"/>
                <w:rFonts w:hint="eastAsia" w:ascii="宋体"/>
                <w:color w:val="auto"/>
                <w:sz w:val="24"/>
                <w:szCs w:val="24"/>
                <w:lang w:bidi="ar"/>
              </w:rPr>
              <w:t>人</w:t>
            </w:r>
          </w:p>
        </w:tc>
        <w:tc>
          <w:tcPr>
            <w:tcW w:w="1080" w:type="pc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专业观众国别</w:t>
            </w:r>
          </w:p>
        </w:tc>
        <w:tc>
          <w:tcPr>
            <w:tcW w:w="6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请罗列</w:t>
            </w:r>
          </w:p>
        </w:tc>
      </w:tr>
      <w:tr>
        <w:tblPrEx>
          <w:tblCellMar>
            <w:top w:w="0" w:type="dxa"/>
            <w:left w:w="108" w:type="dxa"/>
            <w:bottom w:w="0" w:type="dxa"/>
            <w:right w:w="108" w:type="dxa"/>
          </w:tblCellMar>
        </w:tblPrEx>
        <w:trPr>
          <w:trHeight w:val="733"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lang w:bidi="ar"/>
              </w:rPr>
              <w:t>展会成交情况</w:t>
            </w:r>
          </w:p>
        </w:tc>
      </w:tr>
      <w:tr>
        <w:tblPrEx>
          <w:tblCellMar>
            <w:top w:w="0" w:type="dxa"/>
            <w:left w:w="108" w:type="dxa"/>
            <w:bottom w:w="0" w:type="dxa"/>
            <w:right w:w="108" w:type="dxa"/>
          </w:tblCellMar>
        </w:tblPrEx>
        <w:trPr>
          <w:trHeight w:val="733" w:hRule="atLeast"/>
        </w:trPr>
        <w:tc>
          <w:tcPr>
            <w:tcW w:w="13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宋体" w:hAnsi="宋体" w:eastAsia="宋体" w:cs="宋体"/>
                <w:color w:val="000000"/>
                <w:sz w:val="24"/>
                <w:szCs w:val="24"/>
              </w:rPr>
            </w:pPr>
            <w:r>
              <w:rPr>
                <w:rFonts w:hint="default" w:ascii="宋体" w:hAnsi="宋体" w:eastAsia="宋体" w:cs="宋体"/>
                <w:color w:val="000000"/>
                <w:kern w:val="0"/>
                <w:sz w:val="24"/>
                <w:szCs w:val="24"/>
                <w:lang w:bidi="ar"/>
              </w:rPr>
              <w:t>1.</w:t>
            </w:r>
            <w:r>
              <w:rPr>
                <w:rFonts w:hint="eastAsia" w:ascii="宋体" w:hAnsi="宋体" w:eastAsia="宋体" w:cs="宋体"/>
                <w:color w:val="000000"/>
                <w:kern w:val="0"/>
                <w:sz w:val="24"/>
                <w:szCs w:val="24"/>
                <w:lang w:bidi="ar"/>
              </w:rPr>
              <w:t>成交订单总数量</w:t>
            </w:r>
          </w:p>
        </w:tc>
        <w:tc>
          <w:tcPr>
            <w:tcW w:w="3677" w:type="pct"/>
            <w:gridSpan w:val="5"/>
            <w:tcBorders>
              <w:top w:val="single" w:color="000000" w:sz="4" w:space="0"/>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560" w:lineRule="exact"/>
              <w:rPr>
                <w:rFonts w:hint="eastAsia" w:ascii="宋体" w:hAnsi="宋体" w:eastAsia="宋体" w:cs="宋体"/>
                <w:color w:val="FF0000"/>
                <w:sz w:val="24"/>
                <w:szCs w:val="24"/>
              </w:rPr>
            </w:pPr>
            <w:r>
              <w:rPr>
                <w:rFonts w:hint="eastAsia" w:ascii="宋体" w:hAnsi="宋体" w:eastAsia="宋体" w:cs="宋体"/>
                <w:color w:val="auto"/>
                <w:kern w:val="0"/>
                <w:sz w:val="24"/>
                <w:szCs w:val="24"/>
                <w:lang w:bidi="ar"/>
              </w:rPr>
              <w:t xml:space="preserve"> </w:t>
            </w:r>
            <w:r>
              <w:rPr>
                <w:rStyle w:val="11"/>
                <w:rFonts w:hint="eastAsia"/>
                <w:color w:val="auto"/>
                <w:sz w:val="24"/>
                <w:szCs w:val="24"/>
                <w:lang w:bidi="ar"/>
              </w:rPr>
              <w:t xml:space="preserve">     </w:t>
            </w:r>
            <w:r>
              <w:rPr>
                <w:rStyle w:val="10"/>
                <w:rFonts w:hint="eastAsia"/>
                <w:color w:val="auto"/>
                <w:sz w:val="24"/>
                <w:szCs w:val="24"/>
                <w:lang w:bidi="ar"/>
              </w:rPr>
              <w:t xml:space="preserve"> </w:t>
            </w:r>
            <w:r>
              <w:rPr>
                <w:rStyle w:val="10"/>
                <w:rFonts w:hint="eastAsia" w:ascii="宋体"/>
                <w:color w:val="auto"/>
                <w:sz w:val="24"/>
                <w:szCs w:val="24"/>
                <w:lang w:bidi="ar"/>
              </w:rPr>
              <w:t>份</w:t>
            </w:r>
            <w:r>
              <w:rPr>
                <w:rFonts w:hint="eastAsia" w:ascii="宋体" w:hAnsi="宋体" w:eastAsia="宋体" w:cs="宋体"/>
                <w:color w:val="000000"/>
                <w:kern w:val="0"/>
                <w:sz w:val="24"/>
                <w:szCs w:val="24"/>
                <w:lang w:bidi="ar"/>
              </w:rPr>
              <w:t>（包括展后成交）</w:t>
            </w:r>
          </w:p>
        </w:tc>
      </w:tr>
      <w:tr>
        <w:tblPrEx>
          <w:tblCellMar>
            <w:top w:w="0" w:type="dxa"/>
            <w:left w:w="108" w:type="dxa"/>
            <w:bottom w:w="0" w:type="dxa"/>
            <w:right w:w="108" w:type="dxa"/>
          </w:tblCellMar>
        </w:tblPrEx>
        <w:trPr>
          <w:trHeight w:val="733"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560" w:lineRule="exact"/>
              <w:rPr>
                <w:rFonts w:hint="eastAsia" w:ascii="宋体" w:hAnsi="宋体" w:eastAsia="宋体" w:cs="宋体"/>
                <w:color w:val="FF0000"/>
                <w:sz w:val="24"/>
                <w:szCs w:val="24"/>
              </w:rPr>
            </w:pPr>
            <w:r>
              <w:rPr>
                <w:rFonts w:hint="eastAsia" w:ascii="宋体" w:hAnsi="宋体" w:eastAsia="宋体" w:cs="宋体"/>
                <w:color w:val="000000"/>
                <w:kern w:val="0"/>
                <w:sz w:val="24"/>
                <w:szCs w:val="24"/>
                <w:lang w:bidi="ar"/>
              </w:rPr>
              <w:t>其中：</w:t>
            </w:r>
          </w:p>
        </w:tc>
      </w:tr>
      <w:tr>
        <w:tblPrEx>
          <w:tblCellMar>
            <w:top w:w="0" w:type="dxa"/>
            <w:left w:w="108" w:type="dxa"/>
            <w:bottom w:w="0" w:type="dxa"/>
            <w:right w:w="108" w:type="dxa"/>
          </w:tblCellMar>
        </w:tblPrEx>
        <w:trPr>
          <w:trHeight w:val="733" w:hRule="atLeast"/>
        </w:trPr>
        <w:tc>
          <w:tcPr>
            <w:tcW w:w="13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样品订单数量</w:t>
            </w:r>
          </w:p>
          <w:p>
            <w:pPr>
              <w:keepNext w:val="0"/>
              <w:keepLines w:val="0"/>
              <w:pageBreakBefore w:val="0"/>
              <w:widowControl/>
              <w:kinsoku/>
              <w:wordWrap/>
              <w:overflowPunct/>
              <w:topLinePunct w:val="0"/>
              <w:autoSpaceDE/>
              <w:autoSpaceDN/>
              <w:bidi w:val="0"/>
              <w:spacing w:line="560" w:lineRule="exact"/>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（份）</w:t>
            </w:r>
          </w:p>
        </w:tc>
        <w:tc>
          <w:tcPr>
            <w:tcW w:w="384" w:type="pct"/>
            <w:tcBorders>
              <w:top w:val="single" w:color="000000" w:sz="4" w:space="0"/>
              <w:left w:val="nil"/>
              <w:bottom w:val="single" w:color="000000" w:sz="4" w:space="0"/>
              <w:right w:val="nil"/>
            </w:tcBorders>
            <w:noWrap/>
            <w:vAlign w:val="center"/>
          </w:tcPr>
          <w:p>
            <w:pPr>
              <w:keepNext w:val="0"/>
              <w:keepLines w:val="0"/>
              <w:pageBreakBefore w:val="0"/>
              <w:kinsoku/>
              <w:wordWrap/>
              <w:overflowPunct/>
              <w:topLinePunct w:val="0"/>
              <w:autoSpaceDE/>
              <w:autoSpaceDN/>
              <w:bidi w:val="0"/>
              <w:spacing w:line="560" w:lineRule="exact"/>
              <w:rPr>
                <w:rFonts w:hint="eastAsia" w:ascii="宋体" w:hAnsi="宋体" w:eastAsia="宋体" w:cs="宋体"/>
                <w:color w:val="auto"/>
                <w:sz w:val="24"/>
                <w:szCs w:val="24"/>
              </w:rPr>
            </w:pPr>
          </w:p>
        </w:tc>
        <w:tc>
          <w:tcPr>
            <w:tcW w:w="9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意向订单数量</w:t>
            </w:r>
          </w:p>
          <w:p>
            <w:pPr>
              <w:keepNext w:val="0"/>
              <w:keepLines w:val="0"/>
              <w:pageBreakBefore w:val="0"/>
              <w:widowControl/>
              <w:kinsoku/>
              <w:wordWrap/>
              <w:overflowPunct/>
              <w:topLinePunct w:val="0"/>
              <w:autoSpaceDE/>
              <w:autoSpaceDN/>
              <w:bidi w:val="0"/>
              <w:spacing w:line="560" w:lineRule="exact"/>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（份）</w:t>
            </w:r>
          </w:p>
        </w:tc>
        <w:tc>
          <w:tcPr>
            <w:tcW w:w="559" w:type="pct"/>
            <w:tcBorders>
              <w:top w:val="single" w:color="000000" w:sz="4" w:space="0"/>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560" w:lineRule="exact"/>
              <w:rPr>
                <w:rFonts w:hint="eastAsia" w:ascii="宋体" w:hAnsi="宋体" w:eastAsia="宋体" w:cs="宋体"/>
                <w:color w:val="auto"/>
                <w:sz w:val="24"/>
                <w:szCs w:val="24"/>
              </w:rPr>
            </w:pPr>
          </w:p>
        </w:tc>
        <w:tc>
          <w:tcPr>
            <w:tcW w:w="10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贸易订单数量</w:t>
            </w:r>
          </w:p>
          <w:p>
            <w:pPr>
              <w:keepNext w:val="0"/>
              <w:keepLines w:val="0"/>
              <w:pageBreakBefore w:val="0"/>
              <w:widowControl/>
              <w:kinsoku/>
              <w:wordWrap/>
              <w:overflowPunct/>
              <w:topLinePunct w:val="0"/>
              <w:autoSpaceDE/>
              <w:autoSpaceDN/>
              <w:bidi w:val="0"/>
              <w:spacing w:line="560" w:lineRule="exact"/>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（份）</w:t>
            </w:r>
          </w:p>
        </w:tc>
        <w:tc>
          <w:tcPr>
            <w:tcW w:w="6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60" w:lineRule="exact"/>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733" w:hRule="atLeast"/>
        </w:trPr>
        <w:tc>
          <w:tcPr>
            <w:tcW w:w="13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宋体" w:hAnsi="宋体" w:eastAsia="宋体" w:cs="宋体"/>
                <w:color w:val="auto"/>
                <w:kern w:val="0"/>
                <w:sz w:val="24"/>
                <w:szCs w:val="24"/>
                <w:lang w:bidi="ar"/>
              </w:rPr>
            </w:pPr>
            <w:r>
              <w:rPr>
                <w:rFonts w:hint="default" w:ascii="宋体" w:hAnsi="宋体" w:eastAsia="宋体" w:cs="宋体"/>
                <w:color w:val="auto"/>
                <w:kern w:val="0"/>
                <w:sz w:val="24"/>
                <w:szCs w:val="24"/>
                <w:lang w:bidi="ar"/>
              </w:rPr>
              <w:t>2.</w:t>
            </w:r>
            <w:r>
              <w:rPr>
                <w:rFonts w:hint="eastAsia" w:ascii="宋体" w:hAnsi="宋体" w:eastAsia="宋体" w:cs="宋体"/>
                <w:color w:val="auto"/>
                <w:kern w:val="0"/>
                <w:sz w:val="24"/>
                <w:szCs w:val="24"/>
                <w:lang w:bidi="ar"/>
              </w:rPr>
              <w:t>成交总金额</w:t>
            </w:r>
          </w:p>
        </w:tc>
        <w:tc>
          <w:tcPr>
            <w:tcW w:w="3677" w:type="pct"/>
            <w:gridSpan w:val="5"/>
            <w:tcBorders>
              <w:top w:val="single" w:color="000000" w:sz="4" w:space="0"/>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560" w:lineRule="exact"/>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 </w:t>
            </w:r>
            <w:r>
              <w:rPr>
                <w:rStyle w:val="11"/>
                <w:rFonts w:hint="eastAsia"/>
                <w:color w:val="auto"/>
                <w:sz w:val="24"/>
                <w:szCs w:val="24"/>
                <w:lang w:bidi="ar"/>
              </w:rPr>
              <w:t xml:space="preserve">     </w:t>
            </w:r>
            <w:r>
              <w:rPr>
                <w:rStyle w:val="10"/>
                <w:rFonts w:hint="eastAsia"/>
                <w:color w:val="auto"/>
                <w:sz w:val="24"/>
                <w:szCs w:val="24"/>
                <w:lang w:bidi="ar"/>
              </w:rPr>
              <w:t xml:space="preserve"> </w:t>
            </w:r>
            <w:r>
              <w:rPr>
                <w:rStyle w:val="10"/>
                <w:rFonts w:hint="eastAsia" w:ascii="宋体"/>
                <w:color w:val="auto"/>
                <w:sz w:val="24"/>
                <w:szCs w:val="24"/>
                <w:lang w:bidi="ar"/>
              </w:rPr>
              <w:t>元</w:t>
            </w:r>
            <w:r>
              <w:rPr>
                <w:rFonts w:hint="eastAsia" w:ascii="宋体" w:hAnsi="宋体" w:eastAsia="宋体" w:cs="宋体"/>
                <w:color w:val="000000"/>
                <w:kern w:val="0"/>
                <w:sz w:val="24"/>
                <w:szCs w:val="24"/>
                <w:lang w:bidi="ar"/>
              </w:rPr>
              <w:t>（包括展后成交）</w:t>
            </w:r>
          </w:p>
        </w:tc>
      </w:tr>
      <w:tr>
        <w:tblPrEx>
          <w:tblCellMar>
            <w:top w:w="0" w:type="dxa"/>
            <w:left w:w="108" w:type="dxa"/>
            <w:bottom w:w="0" w:type="dxa"/>
            <w:right w:w="108" w:type="dxa"/>
          </w:tblCellMar>
        </w:tblPrEx>
        <w:trPr>
          <w:trHeight w:val="741"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宋体" w:hAnsi="宋体" w:eastAsia="宋体" w:cs="宋体"/>
                <w:color w:val="auto"/>
                <w:sz w:val="24"/>
                <w:szCs w:val="24"/>
              </w:rPr>
            </w:pPr>
            <w:r>
              <w:rPr>
                <w:rFonts w:hint="eastAsia" w:ascii="宋体" w:hAnsi="宋体" w:eastAsia="宋体" w:cs="宋体"/>
                <w:color w:val="000000"/>
                <w:kern w:val="0"/>
                <w:sz w:val="24"/>
                <w:szCs w:val="24"/>
                <w:lang w:bidi="ar"/>
              </w:rPr>
              <w:t>其中：</w:t>
            </w:r>
          </w:p>
        </w:tc>
      </w:tr>
      <w:tr>
        <w:tblPrEx>
          <w:tblCellMar>
            <w:top w:w="0" w:type="dxa"/>
            <w:left w:w="108" w:type="dxa"/>
            <w:bottom w:w="0" w:type="dxa"/>
            <w:right w:w="108" w:type="dxa"/>
          </w:tblCellMar>
        </w:tblPrEx>
        <w:trPr>
          <w:trHeight w:val="771" w:hRule="atLeast"/>
        </w:trPr>
        <w:tc>
          <w:tcPr>
            <w:tcW w:w="13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样品订单成交</w:t>
            </w:r>
          </w:p>
          <w:p>
            <w:pPr>
              <w:keepNext w:val="0"/>
              <w:keepLines w:val="0"/>
              <w:pageBreakBefore w:val="0"/>
              <w:widowControl/>
              <w:kinsoku/>
              <w:wordWrap/>
              <w:overflowPunct/>
              <w:topLinePunct w:val="0"/>
              <w:autoSpaceDE/>
              <w:autoSpaceDN/>
              <w:bidi w:val="0"/>
              <w:spacing w:line="560" w:lineRule="exact"/>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金额（元）</w:t>
            </w:r>
          </w:p>
        </w:tc>
        <w:tc>
          <w:tcPr>
            <w:tcW w:w="384" w:type="pct"/>
            <w:tcBorders>
              <w:top w:val="single" w:color="000000" w:sz="4" w:space="0"/>
              <w:left w:val="nil"/>
              <w:bottom w:val="single" w:color="000000" w:sz="4" w:space="0"/>
              <w:right w:val="nil"/>
            </w:tcBorders>
            <w:noWrap/>
            <w:vAlign w:val="center"/>
          </w:tcPr>
          <w:p>
            <w:pPr>
              <w:keepNext w:val="0"/>
              <w:keepLines w:val="0"/>
              <w:pageBreakBefore w:val="0"/>
              <w:kinsoku/>
              <w:wordWrap/>
              <w:overflowPunct/>
              <w:topLinePunct w:val="0"/>
              <w:autoSpaceDE/>
              <w:autoSpaceDN/>
              <w:bidi w:val="0"/>
              <w:spacing w:line="560" w:lineRule="exact"/>
              <w:rPr>
                <w:rFonts w:hint="eastAsia" w:ascii="宋体" w:hAnsi="宋体" w:eastAsia="宋体" w:cs="宋体"/>
                <w:color w:val="auto"/>
                <w:sz w:val="24"/>
                <w:szCs w:val="24"/>
              </w:rPr>
            </w:pPr>
          </w:p>
        </w:tc>
        <w:tc>
          <w:tcPr>
            <w:tcW w:w="9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意向成交金额（元）</w:t>
            </w:r>
          </w:p>
        </w:tc>
        <w:tc>
          <w:tcPr>
            <w:tcW w:w="559" w:type="pct"/>
            <w:tcBorders>
              <w:top w:val="single" w:color="000000" w:sz="4" w:space="0"/>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560" w:lineRule="exact"/>
              <w:rPr>
                <w:rFonts w:hint="eastAsia" w:ascii="宋体" w:hAnsi="宋体" w:eastAsia="宋体" w:cs="宋体"/>
                <w:color w:val="auto"/>
                <w:sz w:val="24"/>
                <w:szCs w:val="24"/>
              </w:rPr>
            </w:pPr>
          </w:p>
        </w:tc>
        <w:tc>
          <w:tcPr>
            <w:tcW w:w="10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贸易订单成交</w:t>
            </w:r>
          </w:p>
          <w:p>
            <w:pPr>
              <w:keepNext w:val="0"/>
              <w:keepLines w:val="0"/>
              <w:pageBreakBefore w:val="0"/>
              <w:widowControl/>
              <w:kinsoku/>
              <w:wordWrap/>
              <w:overflowPunct/>
              <w:topLinePunct w:val="0"/>
              <w:autoSpaceDE/>
              <w:autoSpaceDN/>
              <w:bidi w:val="0"/>
              <w:spacing w:line="560" w:lineRule="exact"/>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金额（元）</w:t>
            </w:r>
          </w:p>
        </w:tc>
        <w:tc>
          <w:tcPr>
            <w:tcW w:w="6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60" w:lineRule="exact"/>
              <w:rPr>
                <w:rFonts w:hint="eastAsia" w:ascii="宋体" w:hAnsi="宋体" w:eastAsia="宋体" w:cs="宋体"/>
                <w:color w:val="auto"/>
                <w:sz w:val="24"/>
                <w:szCs w:val="24"/>
              </w:rPr>
            </w:pPr>
          </w:p>
        </w:tc>
      </w:tr>
    </w:tbl>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bCs/>
          <w:color w:val="auto"/>
          <w:kern w:val="0"/>
          <w:sz w:val="24"/>
          <w:szCs w:val="24"/>
          <w:lang w:eastAsia="zh-CN" w:bidi="ar"/>
        </w:rPr>
      </w:pPr>
      <w:r>
        <w:rPr>
          <w:rFonts w:hint="eastAsia" w:ascii="宋体" w:hAnsi="宋体" w:eastAsia="宋体" w:cs="宋体"/>
          <w:b/>
          <w:bCs/>
          <w:color w:val="auto"/>
          <w:kern w:val="0"/>
          <w:sz w:val="24"/>
          <w:szCs w:val="24"/>
          <w:lang w:eastAsia="zh-CN" w:bidi="ar"/>
        </w:rPr>
        <w:t>说明：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eastAsia="宋体" w:cs="宋体"/>
          <w:color w:val="auto"/>
          <w:kern w:val="0"/>
          <w:sz w:val="24"/>
          <w:szCs w:val="24"/>
          <w:lang w:eastAsia="zh-CN" w:bidi="ar"/>
        </w:rPr>
      </w:pPr>
      <w:r>
        <w:rPr>
          <w:rFonts w:hint="eastAsia" w:eastAsia="宋体" w:cs="宋体"/>
          <w:color w:val="auto"/>
          <w:kern w:val="0"/>
          <w:sz w:val="24"/>
          <w:szCs w:val="24"/>
          <w:lang w:eastAsia="zh-CN" w:bidi="ar"/>
        </w:rPr>
        <w:t>1</w:t>
      </w:r>
      <w:r>
        <w:rPr>
          <w:rFonts w:hint="eastAsia"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eastAsia="zh-CN" w:bidi="ar"/>
        </w:rPr>
        <w:t>成交订单是</w:t>
      </w:r>
      <w:r>
        <w:rPr>
          <w:rFonts w:hint="eastAsia" w:ascii="宋体" w:hAnsi="宋体" w:eastAsia="宋体" w:cs="宋体"/>
          <w:color w:val="auto"/>
          <w:kern w:val="0"/>
          <w:sz w:val="24"/>
          <w:szCs w:val="24"/>
          <w:lang w:eastAsia="zh-CN" w:bidi="ar"/>
        </w:rPr>
        <w:t>指通过参加境外展会获取的订单，包括现场样品订单、</w:t>
      </w:r>
      <w:r>
        <w:rPr>
          <w:rFonts w:hint="eastAsia" w:eastAsia="宋体" w:cs="宋体"/>
          <w:color w:val="auto"/>
          <w:kern w:val="0"/>
          <w:sz w:val="24"/>
          <w:szCs w:val="24"/>
          <w:lang w:eastAsia="zh-CN" w:bidi="ar"/>
        </w:rPr>
        <w:t>通过邮件等方式收到的意向订单和签署正式合同的贸易订单。</w:t>
      </w:r>
    </w:p>
    <w:p>
      <w:r>
        <w:rPr>
          <w:rFonts w:hint="eastAsia" w:eastAsia="宋体" w:cs="宋体"/>
          <w:color w:val="auto"/>
          <w:kern w:val="0"/>
          <w:sz w:val="24"/>
          <w:szCs w:val="24"/>
          <w:lang w:eastAsia="zh-CN" w:bidi="ar"/>
        </w:rPr>
        <w:t>2.获取订单的时间不限于展会期间，统计截至网络提交申报材料之日。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w:altName w:val="C059"/>
    <w:panose1 w:val="00000000000000000000"/>
    <w:charset w:val="00"/>
    <w:family w:val="auto"/>
    <w:pitch w:val="default"/>
    <w:sig w:usb0="00000000" w:usb1="00000000" w:usb2="00000000" w:usb3="00000000" w:csb0="00040001" w:csb1="00000000"/>
  </w:font>
  <w:font w:name="Calibri Light">
    <w:altName w:val="DejaVu Sans"/>
    <w:panose1 w:val="020F0302020204030204"/>
    <w:charset w:val="00"/>
    <w:family w:val="auto"/>
    <w:pitch w:val="default"/>
    <w:sig w:usb0="00000000" w:usb1="00000000"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961E1"/>
    <w:multiLevelType w:val="singleLevel"/>
    <w:tmpl w:val="A84961E1"/>
    <w:lvl w:ilvl="0" w:tentative="0">
      <w:start w:val="4"/>
      <w:numFmt w:val="chineseCounting"/>
      <w:suff w:val="nothing"/>
      <w:lvlText w:val="%1、"/>
      <w:lvlJc w:val="left"/>
      <w:rPr>
        <w:rFonts w:hint="eastAsia"/>
      </w:rPr>
    </w:lvl>
  </w:abstractNum>
  <w:abstractNum w:abstractNumId="1">
    <w:nsid w:val="429BC9A9"/>
    <w:multiLevelType w:val="singleLevel"/>
    <w:tmpl w:val="429BC9A9"/>
    <w:lvl w:ilvl="0" w:tentative="0">
      <w:start w:val="1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52407"/>
    <w:rsid w:val="7F752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line="380" w:lineRule="exact"/>
      <w:ind w:left="0" w:leftChars="0" w:firstLine="420" w:firstLineChars="200"/>
    </w:pPr>
    <w:rPr>
      <w:rFonts w:ascii="宋体" w:hAnsi="宋体"/>
      <w:spacing w:val="20"/>
      <w:sz w:val="24"/>
    </w:rPr>
  </w:style>
  <w:style w:type="paragraph" w:styleId="3">
    <w:name w:val="Body Text Indent"/>
    <w:basedOn w:val="1"/>
    <w:qFormat/>
    <w:uiPriority w:val="0"/>
    <w:pPr>
      <w:spacing w:after="120"/>
      <w:ind w:left="420" w:leftChars="200"/>
    </w:pPr>
  </w:style>
  <w:style w:type="paragraph" w:styleId="4">
    <w:name w:val="Body Text"/>
    <w:basedOn w:val="1"/>
    <w:next w:val="5"/>
    <w:qFormat/>
    <w:uiPriority w:val="0"/>
    <w:pPr>
      <w:tabs>
        <w:tab w:val="left" w:pos="562"/>
        <w:tab w:val="left" w:pos="3372"/>
        <w:tab w:val="left" w:pos="3653"/>
      </w:tabs>
    </w:pPr>
  </w:style>
  <w:style w:type="paragraph" w:styleId="5">
    <w:name w:val="Title"/>
    <w:basedOn w:val="1"/>
    <w:next w:val="1"/>
    <w:qFormat/>
    <w:uiPriority w:val="0"/>
    <w:pPr>
      <w:spacing w:before="240" w:after="60"/>
      <w:jc w:val="center"/>
      <w:outlineLvl w:val="0"/>
    </w:pPr>
    <w:rPr>
      <w:rFonts w:ascii="Calibri Light" w:hAnsi="Calibri Light" w:cs="Times New Roman"/>
      <w:b/>
      <w:bCs/>
      <w:sz w:val="32"/>
      <w:szCs w:val="32"/>
    </w:rPr>
  </w:style>
  <w:style w:type="paragraph" w:styleId="6">
    <w:name w:val="Plain Text"/>
    <w:basedOn w:val="7"/>
    <w:qFormat/>
    <w:uiPriority w:val="0"/>
    <w:rPr>
      <w:rFonts w:ascii="等线" w:hAnsi="Courier New" w:cs="Courier New"/>
    </w:rPr>
  </w:style>
  <w:style w:type="paragraph" w:customStyle="1" w:styleId="7">
    <w:name w:val="正文_0"/>
    <w:next w:val="6"/>
    <w:qFormat/>
    <w:uiPriority w:val="0"/>
    <w:pPr>
      <w:widowControl w:val="0"/>
      <w:jc w:val="both"/>
    </w:pPr>
    <w:rPr>
      <w:rFonts w:ascii="Calibri" w:hAnsi="Calibri" w:eastAsia="宋体" w:cs="Times New Roman"/>
      <w:kern w:val="2"/>
      <w:sz w:val="21"/>
      <w:szCs w:val="24"/>
      <w:lang w:val="en-US" w:eastAsia="zh-CN" w:bidi="ar-SA"/>
    </w:rPr>
  </w:style>
  <w:style w:type="character" w:customStyle="1" w:styleId="10">
    <w:name w:val="font11"/>
    <w:qFormat/>
    <w:uiPriority w:val="0"/>
    <w:rPr>
      <w:rFonts w:hint="eastAsia" w:ascii="宋体" w:hAnsi="宋体" w:eastAsia="宋体" w:cs="宋体"/>
      <w:color w:val="000000"/>
      <w:sz w:val="20"/>
      <w:szCs w:val="20"/>
      <w:u w:val="none"/>
    </w:rPr>
  </w:style>
  <w:style w:type="character" w:customStyle="1" w:styleId="11">
    <w:name w:val="font51"/>
    <w:qFormat/>
    <w:uiPriority w:val="0"/>
    <w:rPr>
      <w:rFonts w:hint="eastAsia" w:ascii="宋体" w:hAnsi="宋体" w:eastAsia="宋体" w:cs="宋体"/>
      <w:color w:val="000000"/>
      <w:sz w:val="20"/>
      <w:szCs w:val="20"/>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2023-02-14T17:44:00Z</dcterms:created>
  <dc:creator>网站运维(陈梓标)</dc:creator>
  <cp:lastModifiedBy>网站运维(陈梓标)</cp:lastModifiedBy>
  <dcterms:modified xsi:type="dcterms:W3CDTF">2023-02-14T17:45:10Z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