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2019年-2020年商务部确定的数字商务企业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</w:p>
    <w:tbl>
      <w:tblPr>
        <w:tblStyle w:val="2"/>
        <w:tblW w:w="751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876"/>
        <w:gridCol w:w="541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sz w:val="32"/>
                <w:szCs w:val="32"/>
                <w:lang w:val="en-US" w:eastAsia="zh-CN" w:bidi="ar"/>
              </w:rPr>
              <w:t>地区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sz w:val="32"/>
                <w:szCs w:val="32"/>
                <w:lang w:val="en-US" w:eastAsia="zh-CN" w:bidi="ar"/>
              </w:rPr>
              <w:t>批次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sz w:val="32"/>
                <w:szCs w:val="32"/>
                <w:lang w:val="en-US" w:eastAsia="zh-CN" w:bidi="ar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深圳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深圳市彬讯科技有限公司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深圳市搜了网络科技股份有限公司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深圳报业集团电子商务有限公司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深圳市中农网有限公司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深圳市通拓科技有限公司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傲基科技股份有限公司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2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深圳顺丰泰森控股（集团）有限公司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B3A7A"/>
    <w:rsid w:val="49CB3A7A"/>
    <w:rsid w:val="65C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5">
    <w:name w:val="font5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2021-08-05T06:49:00Z</dcterms:created>
  <dc:creator>陈灏</dc:creator>
  <cp:lastModifiedBy>陈灏</cp:lastModifiedBy>
  <dcterms:modified xsi:type="dcterms:W3CDTF">2021-08-05T06:51:29Z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